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86R24089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3679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3679:</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3679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hospital district that is not countywide;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292C.004.</w:t>
      </w:r>
      <w:r>
        <w:rPr>
          <w:u w:val="single"/>
        </w:rPr>
        <w:t xml:space="preserve"> </w:t>
      </w:r>
      <w:r>
        <w:rPr>
          <w:u w:val="single"/>
        </w:rPr>
        <w:t xml:space="preserve"> </w:t>
      </w:r>
      <w:r>
        <w:rPr>
          <w:u w:val="single"/>
        </w:rPr>
        <w:t xml:space="preserve">EXPIRATION.  The authority of a county to administer and operate a program under this chapter expires December 31, 2023.</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to the local provider participation fund may not be used to pay for the services of a consultant or a person required to register under Chapter 305,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$20,000, plus the cost of collateralization of deposits. </w:t>
      </w:r>
      <w:r>
        <w:rPr>
          <w:u w:val="single"/>
        </w:rPr>
        <w:t xml:space="preserve"> </w:t>
      </w:r>
      <w:r>
        <w:rPr>
          <w:u w:val="single"/>
        </w:rPr>
        <w:t xml:space="preserve">If the county demonstrates to the paying hospitals that the costs of administering the program under this chapter, excluding those costs associated with the collateralization of deposits, exceed $20,000 in any year, on consent of a majority of the paying hospitals, the county may use additional revenue from mandatory payments received under this chapter to compensate the county for its administrative expenses. </w:t>
      </w:r>
      <w:r>
        <w:rPr>
          <w:u w:val="single"/>
        </w:rPr>
        <w:t xml:space="preserve"> </w:t>
      </w:r>
      <w:r>
        <w:rPr>
          <w:u w:val="single"/>
        </w:rPr>
        <w:t xml:space="preserve">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county to administer and operate a health care provider participation program under Chapter 292C, Health and Safety Code, as added by this Act, the commissioners court of the county shall transfer to the institutional health care providers in the county a proportionate share of any remaining funds in any local provider participation fund created by the county under Section 292C.103,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