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86R22207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Coleman, Sheffield, Leach</w:t>
      </w:r>
      <w:r xml:space="preserve">
        <w:tab wTab="150" tlc="none" cTlc="0"/>
      </w:r>
      <w:r>
        <w:t xml:space="preserve">H.B.</w:t>
      </w:r>
      <w:r xml:space="preserve">
        <w:t> </w:t>
      </w:r>
      <w:r>
        <w:t xml:space="preserve">No.</w:t>
      </w:r>
      <w:r xml:space="preserve">
        <w:t> </w:t>
      </w:r>
      <w:r>
        <w:t xml:space="preserve">3685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3685:</w:t>
      </w: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C.S.H.B.</w:t>
      </w:r>
      <w:r xml:space="preserve">
        <w:t> </w:t>
      </w:r>
      <w:r>
        <w:t xml:space="preserve">No.</w:t>
      </w:r>
      <w:r xml:space="preserve">
        <w:t> </w:t>
      </w:r>
      <w:r>
        <w:t xml:space="preserve">3685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pharmacy benefits provided through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w:t>
      </w:r>
      <w:r>
        <w:rPr>
          <w:u w:val="single"/>
        </w:rPr>
        <w:t xml:space="preserve">, except as provided by Paragraph (L)(ii),</w:t>
      </w:r>
      <w:r>
        <w:t xml:space="preserve"> </w:t>
      </w:r>
      <w:r>
        <w:t xml:space="preserve">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w:t>
      </w:r>
      <w:r>
        <w:rPr>
          <w:u w:val="single"/>
        </w:rPr>
        <w:t xml:space="preserve">, except as provided by Paragraph (L)(i),</w:t>
      </w:r>
      <w:r>
        <w:t xml:space="preserve">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w:t>
      </w:r>
      <w:r>
        <w:rPr>
          <w:strike/>
        </w:rPr>
        <w:t xml:space="preserve">and</w:t>
      </w:r>
      <w:r>
        <w:t xml:space="preserv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w:t>
      </w:r>
      <w:r>
        <w:rPr>
          <w:u w:val="single"/>
        </w:rPr>
        <w:t xml:space="preserve">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under which the managed care organization or pharmacy benefit manager,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may not require a prior authorization, other than a clinical prior authorization imposed under the vendor drug program, for or impose any other barriers to a drug that is prescribed to a medically fragile child for a particular disease or treatment and that is on the vendor drug program formulary, regardless of whether the drug is: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included in the preferred drug list adopted under Section 531.072;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prescribed for an off-label use;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