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86R9144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pharmacy benefits provided through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w:t>
      </w:r>
      <w:r>
        <w:rPr>
          <w:u w:val="single"/>
        </w:rPr>
        <w:t xml:space="preserve">, except as provided by Paragraph (L)(ii),</w:t>
      </w:r>
      <w:r>
        <w:t xml:space="preserve"> </w:t>
      </w:r>
      <w:r>
        <w:t xml:space="preserve">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w:t>
      </w:r>
      <w:r>
        <w:rPr>
          <w:u w:val="single"/>
        </w:rPr>
        <w:t xml:space="preserve">, except as provided by Paragraph (L)(i),</w:t>
      </w:r>
      <w:r>
        <w:t xml:space="preserve">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w:t>
      </w:r>
      <w:r>
        <w:rPr>
          <w:u w:val="single"/>
        </w:rPr>
        <w:t xml:space="preserve">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under which the managed care organization or pharmacy benefit manager,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may not require a prior authorization, other than a clinical prior authorization, for or impose any other barriers to a drug that is prescribed to a medically fragile child for a particular disease or treatment and that is on the vendor drug program formulary, regardless of whether the drug is included in the preferred drug list adopted under Section 531.072;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