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office of the inspector general of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659.303(a)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include hazardous duty pay in the compensation paid to an individual for services rendered during a month if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routine direct contact with youth: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placed in a residential facility of the department;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released under the department's supervision;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</w:t>
      </w:r>
      <w:r>
        <w:t xml:space="preserve">] completed at least 12 months of lifetime service credit not later than the last day of the preceding month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an investigator, inspector general, security officer, or apprehension specialist employed by the office of the inspector general of the department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Except for the inclusion of hazardous duty pay in the compensation paid to an individual described by Subsection (a)(2), the</w:t>
      </w:r>
      <w:r>
        <w:t xml:space="preserve"> [</w:t>
      </w:r>
      <w:r>
        <w:rPr>
          <w:strike/>
        </w:rPr>
        <w:t xml:space="preserve">The</w:t>
      </w:r>
      <w:r>
        <w:t xml:space="preserve">] department may not pay hazardous duty pay: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funds authorized for payment of an across-the-board employee salary increase;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an employee who works at the department's central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242.102(a),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office of inspector general is established at the department under the direction of the board </w:t>
      </w:r>
      <w:r>
        <w:rPr>
          <w:u w:val="single"/>
        </w:rPr>
        <w:t xml:space="preserve">as a law enforcement agency</w:t>
      </w:r>
      <w:r>
        <w:t xml:space="preserve"> for the purpose of [</w:t>
      </w:r>
      <w:r>
        <w:rPr>
          <w:strike/>
        </w:rPr>
        <w:t xml:space="preserve">investigating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preventing and investigating: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crimes committed by department employees, including parole officers employed by or under a contract with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crimes and delinquent conduct committed at a facility operated by the department, a residential facility operated by another entity under a contract with the department, or any facility in which a child committed to the custody of the department is housed or receives medical or mental health treatment</w:t>
      </w:r>
      <w:r>
        <w:rPr>
          <w:u w:val="single"/>
        </w:rPr>
        <w:t xml:space="preserve">, including: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unauthorized or illegal entry into a department facility;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introduction of contraband into a department facility;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escape from a secure facility;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organized criminal activity;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investigating complaints received under Section 203.010 involving allegations of abuse, neglect, or exploitation of children in juvenile justice programs or facilities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3689 was passed by the House on May 3, 2019, by the following vote:</w:t>
      </w:r>
      <w:r xml:space="preserve">
        <w:t> </w:t>
      </w:r>
      <w:r xml:space="preserve">
        <w:t> </w:t>
      </w:r>
      <w:r>
        <w:t xml:space="preserve">Yeas 139,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3689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