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86R13182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office of the inspector general of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659.303(a)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include hazardous duty pay in the compensation paid to an individual for services rendered during a month if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routine direct contact with youth: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placed in a residential facility of the department;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released under the department's supervision;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completed at least 12 months of lifetime service credit not later than the last day of the preceding month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investigator, inspector general, security officer, or apprehension specialist employed by the office of the inspector general of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Except for the inclusion of hazardous duty pay in the compensation paid to an individual described by Subsection (a)(2), the</w:t>
      </w:r>
      <w:r>
        <w:t xml:space="preserve"> [</w:t>
      </w:r>
      <w:r>
        <w:rPr>
          <w:strike/>
        </w:rPr>
        <w:t xml:space="preserve">The</w:t>
      </w:r>
      <w:r>
        <w:t xml:space="preserve">] department may not pay hazardous duty pay: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funds authorized for payment of an across-the-board employee salary increase;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an employee who works at the department's central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242.102(a),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office of inspector general is established at the department under the direction of the board </w:t>
      </w:r>
      <w:r>
        <w:rPr>
          <w:u w:val="single"/>
        </w:rPr>
        <w:t xml:space="preserve">as a law enforcement agency</w:t>
      </w:r>
      <w:r>
        <w:t xml:space="preserve"> for the purpose of [</w:t>
      </w:r>
      <w:r>
        <w:rPr>
          <w:strike/>
        </w:rPr>
        <w:t xml:space="preserve">investigating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preventing and investigating: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crimes committed by department employees, including parole officers employed by or under a contract with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crimes and delinquent conduct committed at a facility operated by the department, a residential facility operated by another entity under a contract with the department, or any facility in which a child committed to the custody of the department is housed or receives medical or mental health treatment</w:t>
      </w:r>
      <w:r>
        <w:rPr>
          <w:u w:val="single"/>
        </w:rPr>
        <w:t xml:space="preserve">, including: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unauthorized or illegal entry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introduction of contraband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escape from a secure facility;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organized criminal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investigating complaints received under Section 203.010 involving allegations of abuse, neglect, or exploitation of children in juvenile justice programs or facilities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