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dispensing, administration, and use of low-THC cannabis; authorizing medical cannabis research;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37, Education Code, is amended by adding Section 37.0015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LOW-THC CANNABIS.  Notwithstanding any other provision of this chapter, a student for whom low-THC cannabis was prescribed under Chapter 169, Occupations Code, may not be subject to suspension, expulsion, placement in a disciplinary alternative education program, or any other form of discipline solely because the student possessed, used, or was under the influence of the low-THC cannabis.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481.062(a),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persons may possess a controlled substance under this chapter without registering with the Federal Drug Enforcement Administration: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agent or employee of a manufacturer, distributor, analyzer, or dispenser of the controlled substance who is registered with the Federal Drug Enforcement Administration and acting in the usual course of business or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common or contract carrier, a warehouseman, or an employee of a carrier or warehouseman whose possession of the controlled substance is in the usual course of business or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ultimate user or a person in possession of the controlled substance under a lawful order of a practitioner or in lawful possession of the controlled substance if it is listed in Schedule V;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officer or employee of this state, another state, a political subdivision of this state or another state, or the United States who is lawfully engaged in the enforcement of a law relating to a controlled substance or drug or to a customs law and authorized to possess the controlled substance in the discharge of the person's official duties;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if the substance is tetrahydrocannabinol or one of its derivatives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Department of State Health Services official, a medical school researcher, or a research program participant possessing the substance as authorized under Subchapter G;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a practitioner or an ultimate user possessing the substance as a participant in a federally approved therapeutic research program that the commissioner has reviewed and found, in writing, to contain a medically responsible research protocol;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dispensing organization licensed under Chapter 487 that possesses low-THC cannabis.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481, Health and Safety Code, is amended by adding Subchapter G-1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G-1. MEDICAL CANNABIS RESEARCH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"commission" means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MEDICAL CANNABIS RESEARCH PROGRAM.  (a)  Subject to Section 481.253, the executive commissioner by rule shall establish a medical cannabis research program to be conducted by one or more medical schools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under this section, the executive commissioner may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procedures for a medical school in this state to apply to the commission for a permit to conduct medical cannabis research under the program established by this subchapter;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criteria for granting a permit to a medical school to conduct medical cannabis research;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applicable fees for a permit to conduct medical cannabis research;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 concerning the medical conditions for which medical cannabis research may be conducted under the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restrictions related to facilities where medical cannabis research may be conducted;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conditions related to medical cannabis research that are necessary to comply with federal law regarding cannabis research with human subjects.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481.253.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COMPLIANCE WITH FEDERAL LAW.  (a)  The executive commissioner shall make or assist a medical school seeking to conduct research into medical cannabis in making all necessary applications to appropriate federal agencies to establish the program under this subchapter in compliance with federal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is not required to establish the program under this subchapter if a registration or license required by federal law to operate the program cannot be obtained.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487.101,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487.101.</w:t>
      </w:r>
      <w:r xml:space="preserve">
        <w:t> </w:t>
      </w:r>
      <w:r xml:space="preserve">
        <w:t> </w:t>
      </w:r>
      <w:r>
        <w:t xml:space="preserve">LICENSE REQUIRED</w:t>
      </w:r>
      <w:r>
        <w:rPr>
          <w:u w:val="single"/>
        </w:rPr>
        <w:t xml:space="preserve">; DISPENSING LOCATIONS</w:t>
      </w:r>
      <w:r>
        <w:t xml:space="preserve">.  </w:t>
      </w:r>
      <w:r>
        <w:rPr>
          <w:u w:val="single"/>
        </w:rPr>
        <w:t xml:space="preserve">(a)</w:t>
      </w:r>
      <w:r>
        <w:t xml:space="preserve">  A license issued by the department under this chapter is required to operate a dispensing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dispensing organization may operate more than one dispensing location under a single license issued by the department under this chapter if the department determines that more than one dispensing location is necessary to meet patient access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487.107,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the department, a dispensing organization must provide to the department a sample suitable for testing of low-THC cannabis dispensed by the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169.001(3),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"Low-THC cannabis" means the plant Cannabis sativa L., and any part of that plant or any compound, manufacture, salt, derivative, mixture, preparation, resin, or oil of that plant that contains: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more than </w:t>
      </w:r>
      <w:r>
        <w:rPr>
          <w:u w:val="single"/>
        </w:rPr>
        <w:t xml:space="preserve">one</w:t>
      </w:r>
      <w:r>
        <w:t xml:space="preserve"> [</w:t>
      </w:r>
      <w:r>
        <w:rPr>
          <w:strike/>
        </w:rPr>
        <w:t xml:space="preserve">0.5</w:t>
      </w:r>
      <w:r>
        <w:t xml:space="preserve">] percent by weight of tetrahydrocannabinols;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less than 10 percent by weight of cannabidiol.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169.002 and 169.003,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169.002.</w:t>
      </w:r>
      <w:r xml:space="preserve">
        <w:t> </w:t>
      </w:r>
      <w:r xml:space="preserve">
        <w:t> </w:t>
      </w:r>
      <w:r>
        <w:t xml:space="preserve">PHYSICIAN QUALIFIED TO PRESCRIBE LOW-THC CANNABIS </w:t>
      </w:r>
      <w:r>
        <w:rPr>
          <w:u w:val="single"/>
        </w:rPr>
        <w:t xml:space="preserve">TO PATIENTS WITH CERTAIN MEDICAL CONDITIONS</w:t>
      </w:r>
      <w:r>
        <w:t xml:space="preserve">.  (a)  Only a physician qualified as provided by this section may prescribe low-THC cannabis in accordance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physician is qualified to prescribe low-THC cannabis to a patient with [</w:t>
      </w:r>
      <w:r>
        <w:rPr>
          <w:strike/>
        </w:rPr>
        <w:t xml:space="preserve">intractable</w:t>
      </w:r>
      <w:r>
        <w:t xml:space="preserve">] epilepsy</w:t>
      </w:r>
      <w:r>
        <w:rPr>
          <w:u w:val="single"/>
        </w:rPr>
        <w:t xml:space="preserve">, multiple sclerosis, or spasticity only</w:t>
      </w:r>
      <w:r>
        <w:t xml:space="preserve"> if the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under this subtitle;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dedicates a significant portion of clinical practice to the evaluation and treatment of epilepsy;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is certified: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by the American Board of Psychiatry and Neurology [</w:t>
      </w:r>
      <w:r>
        <w:rPr>
          <w:strike/>
        </w:rPr>
        <w:t xml:space="preserve">in: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epilepsy;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[</w:t>
      </w:r>
      <w:r>
        <w:rPr>
          <w:strike/>
        </w:rPr>
        <w:t xml:space="preserve">(ii)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neurology or neurology with special qualification in child neurology and is otherwise qualified for the examination for certification in epilepsy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neurophysiology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American Board of Psychiatry and Neurology;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American Board of Clinical Neurophysiology.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 A physician described by Section 169.002 may prescribe low-THC cannabis to </w:t>
      </w:r>
      <w:r>
        <w:rPr>
          <w:u w:val="single"/>
        </w:rPr>
        <w:t xml:space="preserve">a patient</w:t>
      </w:r>
      <w:r>
        <w:t xml:space="preserve"> [</w:t>
      </w:r>
      <w:r>
        <w:rPr>
          <w:strike/>
        </w:rPr>
        <w:t xml:space="preserve">alleviate a patient's seizures</w:t>
      </w:r>
      <w:r>
        <w:t xml:space="preserve">]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</w:t>
      </w:r>
      <w:r>
        <w:rPr>
          <w:u w:val="single"/>
        </w:rPr>
        <w:t xml:space="preserve">this</w:t>
      </w:r>
      <w:r>
        <w:t xml:space="preserve"> [</w:t>
      </w:r>
      <w:r>
        <w:rPr>
          <w:strike/>
        </w:rPr>
        <w:t xml:space="preserve">the</w:t>
      </w:r>
      <w:r>
        <w:t xml:space="preserve">]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intractable</w:t>
      </w:r>
      <w:r>
        <w:t xml:space="preserve">] epilepsy;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multiple sclerosis;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spasticity;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 second physician qualified to prescribe low-</w:t>
      </w:r>
      <w:r>
        <w:rPr>
          <w:strike/>
        </w:rPr>
        <w:t xml:space="preserve">THC cannabis under Section 169.002 has concurred with the determination under Paragraph (B), and the second physician's concurrence is recorded in the patient's medical record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(a)  Subchapter G, Chapter 481, Health and Safety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169.001(2),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