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86R10433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Zerwas, Huberty, Miller,</w:t>
      </w:r>
      <w:r xml:space="preserve">
        <w:tab wTab="150" tlc="none" cTlc="0"/>
      </w:r>
      <w:r>
        <w:t xml:space="preserve">H.B.</w:t>
      </w:r>
      <w:r xml:space="preserve">
        <w:t> </w:t>
      </w:r>
      <w:r>
        <w:t xml:space="preserve">No.</w:t>
      </w:r>
      <w:r xml:space="preserve">
        <w:t> </w:t>
      </w:r>
      <w:r>
        <w:t xml:space="preserve">3718</w:t>
      </w:r>
    </w:p>
    <w:p w:rsidR="003F3435" w:rsidRDefault="0032493E">
      <w:pPr>
        <w:jc w:val="both"/>
      </w:pPr>
      <w:r xml:space="preserve">
        <w:t> </w:t>
      </w:r>
      <w:r xml:space="preserve">
        <w:t> </w:t>
      </w:r>
      <w:r xml:space="preserve">
        <w:t> </w:t>
      </w:r>
      <w:r xml:space="preserve">
        <w:t> </w:t>
      </w:r>
      <w:r xml:space="preserve">
        <w:t> </w:t>
      </w:r>
      <w:r>
        <w:t xml:space="preserve">Thompson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trauma-informed care policy for school districts and open-enrollment charter schools and training regarding the policy for district and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w:t>
      </w:r>
      <w:r>
        <w:t xml:space="preserve"> </w:t>
      </w:r>
      <w:r>
        <w:t xml:space="preserve">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under Section 38.036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complies with Section 38.036(c)(1)(A);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 </w:t>
      </w:r>
      <w:r>
        <w:rPr>
          <w:u w:val="single"/>
        </w:rPr>
        <w:t xml:space="preserve"> </w:t>
      </w:r>
      <w:r>
        <w:rPr>
          <w:u w:val="single"/>
        </w:rPr>
        <w:t xml:space="preserve">Each school district and open-enrollment charter school shall adopt and implement a policy requiring the integration of trauma-informed practices in each school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w:t>
      </w:r>
      <w:r>
        <w:rPr>
          <w:u w:val="single"/>
        </w:rPr>
        <w:t xml:space="preserve"> </w:t>
      </w:r>
      <w:r>
        <w:rPr>
          <w:u w:val="single"/>
        </w:rPr>
        <w:t xml:space="preserve">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toxic stress.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The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an evidence-based, evidence-informed, or promising practices training program that addresses the effects of trauma and is approved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part of any new employee orientation for all new school district and open-enrollment charter school educators or coaches;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to existing school district and open-enrollment charter school educators or coaches on a schedule recommended by commissioner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provided under Subsection (c), each school district and open-enrollment charter school shall maintain records that include the name of each district or charter school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or open-enrollment charter school determines that the district or charter school does not have sufficient resources to provide the training required under Subsection (c), the district or charter school shall make reasonable efforts to collaborate with a community organization to provide training that meets the requirements of Subsection (c) at no cost to the district or charter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