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3721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review organization to conduct reviews of certain medical necessity determinations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INDEPENDENT REVIEW ORGANIZATIONS.  (a)  In this section, "independent review organization" means an organization certified under Chapter 4202, Insurance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an independent review organization to make review determinations with respect to complaints or disputes, including a dispute at issue in a request for appeal, submitted to the commission challenging a medical necessity determination of a managed care organization that contracts with the commission under this chapter.  The executive commissioner by rule shall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an independent review organization is to settle complaints or disputes;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in the appeals process, an organization may be accessed;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recourse available after the organization makes a review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contract entered into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an independent review organization to make a review determination in a timely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procedures to protect the confidentiality of medical records transmitted to the organization for use in conducting an independent review;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sets minimum qualifications for and requires the independence of each physician or other health care provider making a review determination on behalf of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specifies the procedures to be used by the organization in making review determinations;</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requires the timely notice to a recipient of the results of an independent review, including the clinical basis for the review determination;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requires that the organization report the following aggregate information to the commission in the form and manner and at the times prescribed by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requests for independent reviews received by the independent review organization;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independent reviews conducted;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review determinations made: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 favor of a managed care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 favor of a recipient;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review determinations that resulted in a managed care organization deciding to cover the service at issue;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summary of the complaints or disputes at issue in independent reviews;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summary of the services that were the subject of independent reviews;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average time the organization took to complete an independent review and make a review determination;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requires that, in addition to the aggregate information required by Subdivision (6), the organization include in the report the information required by that subdivision categorized by managed care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independent review organization with which the commission contracts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all information relating to the complaint or dispute at issue from the managed care organization and the provider in accordance with time frames prescribed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assign a physician or other health care provider with appropriate expertise as a reviewer to make a review determination;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review, perform a check to ensure that the organization and the physician or other health care provider assigned to make a review determination do not have a conflict of interest, as defined in the contract entered into between the commission and the organization;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communicate procedural rules, approved by the commission, and other information regarding the appeals process to all parties;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render a timely review determination, as determined by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that the managed care organization, the provider, and the recipient involved in a complaint or dispute do not have a choice in the reviewer who is assigned to perform the review.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selecting an independent review organization with which to contract, the commission shall avoid conflicts of interest by considering and monitoring existing relationships between independent review organizations and managed care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