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86R397 SMH-F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3722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date for ordering or holding an election to ratify the ad valorem tax rate of a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26.08(b),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governing body shall order that the election be held in the school district on </w:t>
      </w:r>
      <w:r>
        <w:rPr>
          <w:u w:val="single"/>
        </w:rPr>
        <w:t xml:space="preserve">the first uniform election date prescribed by</w:t>
      </w:r>
      <w:r>
        <w:t xml:space="preserve"> [</w:t>
      </w:r>
      <w:r>
        <w:rPr>
          <w:strike/>
        </w:rPr>
        <w:t xml:space="preserve">a date not less than 30 or more than 90 days after the day on which it adopted the tax rate.</w:t>
      </w:r>
      <w:r>
        <w:t xml:space="preserve">] </w:t>
      </w:r>
      <w:r>
        <w:t xml:space="preserve"> </w:t>
      </w:r>
      <w:r>
        <w:t xml:space="preserve">Section 41.001, Election Code, </w:t>
      </w:r>
      <w:r>
        <w:rPr>
          <w:u w:val="single"/>
        </w:rPr>
        <w:t xml:space="preserve">that allows sufficient time to comply with other requirements of law</w:t>
      </w:r>
      <w:r>
        <w:t xml:space="preserve"> [</w:t>
      </w:r>
      <w:r>
        <w:rPr>
          <w:strike/>
        </w:rPr>
        <w:t xml:space="preserve">does not apply to the election unless a date specified by that section falls within the time permitted by this section</w:t>
      </w:r>
      <w:r>
        <w:t xml:space="preserve">]. </w:t>
      </w:r>
      <w:r>
        <w:t xml:space="preserve"> </w:t>
      </w:r>
      <w:r>
        <w:t xml:space="preserve">At the election, the ballots shall be prepared to permit voting for or against the proposition:</w:t>
      </w:r>
      <w:r xml:space="preserve">
        <w:t> </w:t>
      </w:r>
      <w:r xml:space="preserve">
        <w:t> </w:t>
      </w:r>
      <w:r>
        <w:t xml:space="preserve">"Approving the ad valorem tax rate of $_____ per $100 valuation in (name of school district) for the current year, a rate that is $_____ higher per $100 valuation than the school district rollback tax rate, for the purpose of (description of purpose of increase)." </w:t>
      </w:r>
      <w:r>
        <w:t xml:space="preserve"> </w:t>
      </w:r>
      <w:r>
        <w:t xml:space="preserve">The ballot proposition must include the adopted tax rate and the difference between that rate and the rollback tax rate in the appropriate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3.005(a),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(c) [</w:t>
      </w:r>
      <w:r>
        <w:rPr>
          <w:strike/>
        </w:rPr>
        <w:t xml:space="preserve">and (d)</w:t>
      </w:r>
      <w:r>
        <w:t xml:space="preserve">], an election ordered by an authority of a political subdivision shall be ordered not later than the 62nd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3.005(d),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the ad valorem tax rate of a school district beginning with the 2020 tax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