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86R12534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Tinderholt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of traffic laws by private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600.003,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600.003.</w:t>
      </w:r>
      <w:r xml:space="preserve">
        <w:t> </w:t>
      </w:r>
      <w:r xml:space="preserve">
        <w:t> </w:t>
      </w:r>
      <w:r>
        <w:t xml:space="preserve">ENFORCEMENT OF [</w:t>
      </w:r>
      <w:r>
        <w:rPr>
          <w:strike/>
        </w:rPr>
        <w:t xml:space="preserve">CERTAIN</w:t>
      </w:r>
      <w:r>
        <w:t xml:space="preserve">] TRAFFIC LAWS BY PRIVATE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600.003(b),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private or independent institution of higher education may enforce a traffic law of this state [</w:t>
      </w:r>
      <w:r>
        <w:rPr>
          <w:strike/>
        </w:rPr>
        <w:t xml:space="preserve">under Chapter 545 restricting or prohibiting the operation or movement of vehicles</w:t>
      </w:r>
      <w:r>
        <w:t xml:space="preserve">] on a road of the institution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road of the institution is open to the public at the time the traffic law is enforced;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governing body of the institution adopts a regulation to enforce the traffic law[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restriction or prohibition on the operation and movement of vehicles adopted by the institution: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posted by means of a sign, marking, signal, or other device visible to and, if it contains writing, able to be read by an operator of a vehicle to whom the restriction or prohibition applies in the same manner as a similar restriction or prohibition on the operation and movement of vehicles would be posted by a municipality;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been approved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commissioners court of the county in which the applicable road of the institution is located, if the road is located in the unincorporated area of a county;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(ii)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governing body of the municipality in which the applicable road of the institution is located, if the road is located in a municipality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