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86R28140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3727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3727:</w:t>
      </w:r>
    </w:p>
    <w:p w:rsidR="003F3435" w:rsidRDefault="0032493E">
      <w:pPr>
        <w:spacing w:line="480" w:lineRule="auto"/>
        <w:jc w:val="both"/>
        <w:tabs>
          <w:tab w:val="right" w:leader="none" w:pos="9350"/>
        </w:tabs>
      </w:pPr>
      <w:r>
        <w:t xml:space="preserve">By:</w:t>
      </w:r>
      <w:r xml:space="preserve">
        <w:t> </w:t>
      </w:r>
      <w:r xml:space="preserve">
        <w:t> </w:t>
      </w:r>
      <w:r>
        <w:t xml:space="preserve">Stickland</w:t>
      </w:r>
      <w:r xml:space="preserve">
        <w:tab wTab="150" tlc="none" cTlc="0"/>
      </w:r>
      <w:r>
        <w:t xml:space="preserve">C.S.H.B.</w:t>
      </w:r>
      <w:r xml:space="preserve">
        <w:t> </w:t>
      </w:r>
      <w:r>
        <w:t xml:space="preserve">No.</w:t>
      </w:r>
      <w:r xml:space="preserve">
        <w:t> </w:t>
      </w:r>
      <w:r>
        <w:t xml:space="preserve">3727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online publication of information by certain special purpose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403.0241, Government Code, is amended by amending Subsection (b) and adding Subsection (c-1) to read as follows:</w:t>
      </w:r>
    </w:p>
    <w:p w:rsidR="003F3435" w:rsidRDefault="0032493E">
      <w:pPr>
        <w:spacing w:line="480" w:lineRule="auto"/>
        <w:ind w:firstLine="720"/>
        <w:jc w:val="both"/>
      </w:pPr>
      <w:r>
        <w:t xml:space="preserve">(b)</w:t>
      </w:r>
      <w:r xml:space="preserve">
        <w:t> </w:t>
      </w:r>
      <w:r xml:space="preserve">
        <w:t> </w:t>
      </w:r>
      <w:r>
        <w:t xml:space="preserve">The comptroller shall create and make accessible on the Internet a database, to be known as the Special Purpose District Public Information Database, that contains information regarding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all special purpose districts of this state that: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are authorized by the state by a general or special law to impose an ad valorem tax or a sales and use tax, to impose an assessment, or to charge a fee;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during the most recent fiscal year:</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had bonds outstanding;</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had gross receipts from operations, loans, taxes, or contributions in excess of $250,000; or</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had cash and temporary investments in excess of $250,000</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emergency services districts and municipal utility districts with a population of more than 100</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requirements of Subsection (c), the entry for each emergency services district and municipal utility district in the database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indication of how a person may contact a specified person or address to obtain: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contact information for board members;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meeting agendas and minutes;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 of each board member;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provided to the comptroller under Section 775.046(c), Health and Safety Code, or Section 54.244(c), Water Code,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775, Health and Safety Code, is amended by adding Section 775.046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775.046.</w:t>
      </w:r>
      <w:r>
        <w:rPr>
          <w:u w:val="single"/>
        </w:rPr>
        <w:t xml:space="preserve"> </w:t>
      </w:r>
      <w:r>
        <w:rPr>
          <w:u w:val="single"/>
        </w:rPr>
        <w:t xml:space="preserve"> </w:t>
      </w:r>
      <w:r>
        <w:rPr>
          <w:u w:val="single"/>
        </w:rPr>
        <w:t xml:space="preserve">ONLINE PUBLICATION.  (a)  In this section, "comptroller database" means the Special Purpose District Public Information Database established under Section 403.0241,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district with a population of more than 100.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information a district is required to provide to the comptroller under Section 403.0241, Government Code, and Section 203.062, Local Government Code, the district annually shall provide to the comptroller for inclusion in the comptroller database: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indication of whether the district's commissioners are appointed or elected;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district's commissioners are elected: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indication of the month in which the district's regular elections take place;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instructions for becoming a candidate to be elected as a commissioner, including any relevant deadlines for filing required documents;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instructions for obtaining the results of district elections;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district's commissioners are appointed, a description of the appointment process and the person or body that has appointing authority.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shall maintain: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Internet website;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Internet domain name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includes a form of the name of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directs a user to the district's entry in the comptroller database.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maintains an Internet website, the board shall ensure that the following items are posted on the Internet website and that the items required under Subdivisions (3), (4), and (5) are updated on the district's Internet website at least 90 days before the date of an election held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link to the district's entry in the comptroller database;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term of each commissioner;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information described by Subsections (c)(1)-(3);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district's tax rate;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district's budget;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meeting agendas and minutes.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54, Water Code, is amended by adding Section 54.244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54.244.</w:t>
      </w:r>
      <w:r>
        <w:rPr>
          <w:u w:val="single"/>
        </w:rPr>
        <w:t xml:space="preserve"> </w:t>
      </w:r>
      <w:r>
        <w:rPr>
          <w:u w:val="single"/>
        </w:rPr>
        <w:t xml:space="preserve"> </w:t>
      </w:r>
      <w:r>
        <w:rPr>
          <w:u w:val="single"/>
        </w:rPr>
        <w:t xml:space="preserve">ONLINE PUBLICATION.  (a)  In this section, "comptroller database" means the Special Purpose District Public Information Database established under Section 403.0241,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district with a population of more than 100.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information a district is required to provide to the comptroller under Section 403.0241, Government Code, and Section 203.062, Local Government Code, the district annually shall provide to the comptroller for inclusion in the comptroller database: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indication of whether the district's directors are appointed or elected;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district's directors are elected: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indication of the month in which the district's regular elections take place;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instructions for becoming a candidate to be elected as a director, including any relevant deadlines for filing required documents;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instructions for obtaining the results of district elections;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district's directors are appointed, a description of the appointment process and the person or body that has appointing authority.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shall maintain: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Internet website;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Internet domain name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includes a form of the name of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directs a user to the district's entry in the comptroller database.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maintains an Internet website, the board shall ensure that the following items are posted on the Internet website and that the items required by Subdivisions (3), (4), and (5) are updated on the district's Internet website at least 90 days before the date of an election held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link to the district's entry in the comptroller database;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term of each director;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information described by Subsections (c)(1)-(3);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district's tax rate;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district's budget;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meeting agendas and minutes.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district shall provide a link to the Internet website or the Internet domain name required under Subsection (d):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first page of each bill sent to a customer;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prominent location on each electronic bill or receipt sent to a customer.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