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86R14344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3730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purchase of online library resources for primary and secondary schools by the Texas State Library and Archives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441, Government Code, is amended by adding Section 441.231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441.231.</w:t>
      </w:r>
      <w:r>
        <w:rPr>
          <w:u w:val="single"/>
        </w:rPr>
        <w:t xml:space="preserve"> </w:t>
      </w:r>
      <w:r>
        <w:rPr>
          <w:u w:val="single"/>
        </w:rPr>
        <w:t xml:space="preserve"> </w:t>
      </w:r>
      <w:r>
        <w:rPr>
          <w:u w:val="single"/>
        </w:rPr>
        <w:t xml:space="preserve">ONLINE LIBRARY RESOURCES FOR SCHOOL DISTRICTS.  (a)  The commission shall use funds appropriated to the commission or consortium services fees under Section 441.224(b) collected from school districts to purchase online library resources for primary and secondary schools that have adopted Internet safety policies and technology protection measures meeting the requirements for certification under 47 U.S.C. Sections 254(h)(5)(B)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purchase online library resources under Subsection (a) only if the vendor providing the resources certifies that the resources comply with 47 U.S.C. Section 254(h)(5).</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legislature finds that a vendor subject to Subsection (b) is failing to comply substantially with the requirements of 47 U.S.C. Section 254(h)(5), the commission may withhold further payments to the vendor pending verification of compliance with that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vendor described by Subsection (c) fails to timely verify that the vendor is in compliance with federal law, the commission may consider the vendor's act of noncompliance as a breach of contract.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of each fiscal year, the commission shall submit to the Legislative Budget Board and the office of the governor a report on any issues related to vendor compliance with technology protection measures required by 47 U.S.C. Section 254(h)(5).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