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86R11501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 et al.</w:t>
      </w:r>
      <w:r xml:space="preserve">
        <w:tab wTab="150" tlc="none" cTlc="0"/>
      </w:r>
      <w:r>
        <w:t xml:space="preserve">H.B.</w:t>
      </w:r>
      <w:r xml:space="preserve">
        <w:t> </w:t>
      </w:r>
      <w:r>
        <w:t xml:space="preserve">No.</w:t>
      </w:r>
      <w:r xml:space="preserve">
        <w:t> </w:t>
      </w:r>
      <w:r>
        <w:t xml:space="preserve">3738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an Internet website of certain day-care providers and parenting resources.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42.025, Human Resources Code, is amended to read as follows:</w:t>
      </w:r>
    </w:p>
    <w:p w:rsidR="003F3435" w:rsidRDefault="0032493E">
      <w:pPr>
        <w:spacing w:line="480" w:lineRule="auto"/>
        <w:ind w:firstLine="720"/>
        <w:jc w:val="both"/>
      </w:pPr>
      <w:r>
        <w:t xml:space="preserve">Sec.</w:t>
      </w:r>
      <w:r xml:space="preserve">
        <w:t> </w:t>
      </w:r>
      <w:r>
        <w:t xml:space="preserve">42.025.</w:t>
      </w:r>
      <w:r xml:space="preserve">
        <w:t> </w:t>
      </w:r>
      <w:r xml:space="preserve">
        <w:t> </w:t>
      </w:r>
      <w:r>
        <w:t xml:space="preserve">SEARCHABLE DATABASE </w:t>
      </w:r>
      <w:r>
        <w:rPr>
          <w:u w:val="single"/>
        </w:rPr>
        <w:t xml:space="preserve">OF PREVIOUSLY DISCIPLINED FAMILY HOMES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42, Human Resources Code, is amended by adding Section 42.026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42.026.</w:t>
      </w:r>
      <w:r>
        <w:rPr>
          <w:u w:val="single"/>
        </w:rPr>
        <w:t xml:space="preserve"> </w:t>
      </w:r>
      <w:r>
        <w:rPr>
          <w:u w:val="single"/>
        </w:rPr>
        <w:t xml:space="preserve"> </w:t>
      </w:r>
      <w:r>
        <w:rPr>
          <w:u w:val="single"/>
        </w:rPr>
        <w:t xml:space="preserve">INTERNET WEBSITE LISTING DAY-CARE PROVIDERS.  (a) </w:t>
      </w:r>
      <w:r>
        <w:rPr>
          <w:u w:val="single"/>
        </w:rPr>
        <w:t xml:space="preserve"> </w:t>
      </w:r>
      <w:r>
        <w:rPr>
          <w:u w:val="single"/>
        </w:rPr>
        <w:t xml:space="preserve">The commission shall maintain a single, statewide Internet website of day-care providers, including day-care centers, group day-care homes, listed and registered family homes, and prekindergarten programs provided by public school districts or charter schools under Chapter 29,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Internet website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be user-friendly, easy to navigate, and designed to assist parents in locating and selecting day-care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searchable by the information provided under Subdivision (5)(D);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resources for parents regarding early childhood education and development, including information or materials developed under Section 2308.317(a)(5),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easily accessible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persons who speak a language other than English;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persons and families of persons with a disability;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to assist families in understanding the importance of licensed day-care facilities;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annual report compiled by the commission on the number of deaths, serious injuries, and incidents of child abuse and neglect that have occurred in day-care facilities;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contact information for state and local agencies that can provide additional assistance to parents and individuals with questions about day-care facilities;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following information for each day-care provider: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provider's address and zip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whether the provider is licensed, listed, or registered;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provider's hours of operation;</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setting of the day-care provider;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ages of children served by the provider;</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whether the provider participates in the Texas Workforce Commission's child care subsidy program;</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the provider's Texas Rising Star Program rating provided by the Texas Workforce Commission;</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the provider's status as an Early Head Start or Head Start provider as provided by the Texas Head Start State Collaboration Office; and</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a link to each inspection report for the provider posted on the commission's Internet website;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optional profile for each day-care provider, developed in collaboration with the provider, that includes a brief narrative about the provider, information about the provider's services, and photographs.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consult with the Texas Early Learning Council in developing the Internet website required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make the Internet website available through a mobile application for wireless communication devices.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contract with a third party to establish the Internet website and mobile application for wireless communication devices required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2020, the Health and Human Services Commission shall make the Internet website required by Section 42.026, Human Resources Code, as added by this Act, available to the public.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