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86R9886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private health benefits with Medicaid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that contracts with the commission under this chapter to provide health care services to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shall develop and adopt a clear policy for a Medicaid managed care organization to ensure the coordination and timely delivery of Medicaid wrap-around benefits for recipients with both primary health benefit plan coverage and Medicaid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further assist with the coordination of benefits, the commission, in coordination with Medicaid managed care organizations, shall develop and maintain a list of services that are not traditionally covered by primary health benefit plan coverage that a Medicaid managed care organization may approve without having to coordinate with the primary health benefit plan issuer and that can be resolved through third-party liability resolution processes. </w:t>
      </w:r>
      <w:r>
        <w:rPr>
          <w:u w:val="single"/>
        </w:rPr>
        <w:t xml:space="preserve"> </w:t>
      </w:r>
      <w:r>
        <w:rPr>
          <w:u w:val="single"/>
        </w:rPr>
        <w:t xml:space="preserve">The commission shall review and update the list quarterly.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that in good faith and following commission policies provides coverage for a Medicaid wrap-around benefit shall include the cost of providing the benefit in the organization's financial reports. </w:t>
      </w:r>
      <w:r>
        <w:rPr>
          <w:u w:val="single"/>
        </w:rPr>
        <w:t xml:space="preserve"> </w:t>
      </w:r>
      <w:r>
        <w:rPr>
          <w:u w:val="single"/>
        </w:rPr>
        <w:t xml:space="preserve">The commission shall include the reported costs in computing capitation rates for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Sections 531.073 and 533.005(a)(23) or any other law, the commission shall ensure that a prescription drug that is covered under the Medicaid vendor drug program or other applicable formulary and is prescribed to a recipient with primary health benefit plan coverage is not subject to any prior authorization requirement if the primary health benefit plan issuer will pay at least $0.01 on the prescription drug claim. </w:t>
      </w:r>
      <w:r>
        <w:rPr>
          <w:u w:val="single"/>
        </w:rPr>
        <w:t xml:space="preserve"> </w:t>
      </w:r>
      <w:r>
        <w:rPr>
          <w:u w:val="single"/>
        </w:rPr>
        <w:t xml:space="preserve">If the primary insurer will pay nothing on a prescription drug claim, the prescription drug is subject to any applicable Medicaid clinical or nonpreferred prior authorization requirement.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the daily Medicaid managed care eligibility files indicate whether a recipient has primary health benefit plan coverage or health insurance premium payment coverage. </w:t>
      </w:r>
      <w:r>
        <w:rPr>
          <w:u w:val="single"/>
        </w:rPr>
        <w:t xml:space="preserve"> </w:t>
      </w:r>
      <w:r>
        <w:rPr>
          <w:u w:val="single"/>
        </w:rPr>
        <w:t xml:space="preserve">For a recipient who has that coverage, the files must include the following up-to-date, accurate information related to primary health benefit plan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information that would be useful to ensure the coordination of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develop and implement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u w:val="single"/>
        </w:rPr>
        <w:t xml:space="preserve"> </w:t>
      </w:r>
      <w:r>
        <w:rPr>
          <w:u w:val="single"/>
        </w:rPr>
        <w:t xml:space="preserve">The commission shall allow a provider who is not enrolled as a Medicaid provider to order, refer, prescribe, or deliver services to a recipient based on the provider's national provider identifier number and may not require an additional state provider identifier number to receive reimbursement for the services. </w:t>
      </w:r>
      <w:r>
        <w:rPr>
          <w:u w:val="single"/>
        </w:rPr>
        <w:t xml:space="preserve"> </w:t>
      </w:r>
      <w:r>
        <w:rPr>
          <w:u w:val="single"/>
        </w:rPr>
        <w:t xml:space="preserve">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 if the provider will enter into a single-case agreement with the Medicaid managed care organization. </w:t>
      </w:r>
      <w:r>
        <w:rPr>
          <w:u w:val="single"/>
        </w:rPr>
        <w:t xml:space="preserve"> </w:t>
      </w:r>
      <w:r>
        <w:rPr>
          <w:u w:val="single"/>
        </w:rPr>
        <w:t xml:space="preserve">A single-case agreement with a provider outside of the organization's service delivery area in accordance with this subsection  is not considered an out-of-network agreement and must be included in the organization's network adequacy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processes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 recipient with primary health benefit plan coverage who pays a copayment or coinsurance amount out of pocket because the primary health benefit plan issuer refuses to enroll in Medicaid, enter into a single-case agreement, or bill the recipient's Medicaid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capture encounter data for the Medicaid wrap-around benefits provided by the Medicaid managed care organization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