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86R6818 MP-D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Walle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3751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legal counsel provided by the attorney general to a political subdivision subject to a declared state of disaster.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H, Chapter 418, Government Code, is amended by adding Section 418.193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418.193.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ATTORNEY GENERAL AS LEGAL ADVISOR ON ISSUES RELATED TO DECLARED DISASTER.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This section applies only during a declared state of disaster under Section 418.014 and the 90-day period following the expiration or termination of the disaster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 may provide legal counsel to a political subdivision subject to a declared state of disaster under Section 418.014 on issues related to disaster mitigation, preparedness, response, and recovery applicable to the area subject to the disaster declaration.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request for counsel under this section may be submitted only by: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emergency management director designated under Section 418.1015 for the political subdivision;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county judge or a commissioner of a county subject to the declaration;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mayor of a municipality subject to the declaration.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3751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