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86R23860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H.B.</w:t>
      </w:r>
      <w:r xml:space="preserve">
        <w:t> </w:t>
      </w:r>
      <w:r>
        <w:t xml:space="preserve">No.</w:t>
      </w:r>
      <w:r xml:space="preserve">
        <w:t> </w:t>
      </w:r>
      <w:r>
        <w:t xml:space="preserve">3754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collection of local permit and license fees authorized under the Alcoholic Beverage Code;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11.38, Alcoholic Beverage Code, is amended by amending Subsection (b) and adding Subsections (b-1) and (b-2) to read as follows:</w:t>
      </w:r>
    </w:p>
    <w:p w:rsidR="003F3435" w:rsidRDefault="0032493E">
      <w:pPr>
        <w:spacing w:line="480" w:lineRule="auto"/>
        <w:ind w:firstLine="720"/>
        <w:jc w:val="both"/>
      </w:pPr>
      <w:r>
        <w:t xml:space="preserve">(b)</w:t>
      </w:r>
      <w:r xml:space="preserve">
        <w:t> </w:t>
      </w:r>
      <w:r xml:space="preserve">
        <w:t> </w:t>
      </w:r>
      <w:r>
        <w:t xml:space="preserve">The commission or administrator may cancel </w:t>
      </w:r>
      <w:r>
        <w:rPr>
          <w:u w:val="single"/>
        </w:rPr>
        <w:t xml:space="preserve">or suspend</w:t>
      </w:r>
      <w:r>
        <w:t xml:space="preserve"> a permit if it finds that the permittee has not paid a fee levied under this section </w:t>
      </w:r>
      <w:r>
        <w:rPr>
          <w:u w:val="single"/>
        </w:rPr>
        <w:t xml:space="preserve">within 180 days after the date the fee was levied</w:t>
      </w:r>
      <w:r>
        <w:t xml:space="preserve">.  A permittee who sells an alcoholic beverage without first having paid a fee levied under this section commits a misdemeanor punishable by a fine of not less than $10 nor more than $200.</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city, town, or county may enter into a contract with a private attorney or a public or private vendor for the collection of an unpaid permit fee levied under this section that is more than 60 days past due. </w:t>
      </w:r>
      <w:r>
        <w:rPr>
          <w:u w:val="single"/>
        </w:rPr>
        <w:t xml:space="preserve"> </w:t>
      </w:r>
      <w:r>
        <w:rPr>
          <w:u w:val="single"/>
        </w:rPr>
        <w:t xml:space="preserve">A private attorney or a public or private vendor collecting a fee under this subsection may assess a collection charge to a permit holder for late payment or nonpayment of a fee levied under this section.</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city, town, or county may enter into an interlocal agreement with another entity authorized to levy a fee under this section for the collection of a permit fee that is more than 60 days past due on behalf of the other entity and shall remit the appropriate fees collected to the other entity.  The amount collected through an interlocal agreement under this subsection may not exceed the amount of the fee levied by the city, town, or county under this section and any collection charge assessed by a private attorney or a public or private vendor under Subsection (b-1).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61.36, Alcoholic Beverage Code, is amended by amending Subsection (b) and adding Subsections (b-1) and (b-2) to read as follows:</w:t>
      </w:r>
    </w:p>
    <w:p w:rsidR="003F3435" w:rsidRDefault="0032493E">
      <w:pPr>
        <w:spacing w:line="480" w:lineRule="auto"/>
        <w:ind w:firstLine="720"/>
        <w:jc w:val="both"/>
      </w:pPr>
      <w:r>
        <w:t xml:space="preserve">(b)</w:t>
      </w:r>
      <w:r xml:space="preserve">
        <w:t> </w:t>
      </w:r>
      <w:r xml:space="preserve">
        <w:t> </w:t>
      </w:r>
      <w:r>
        <w:t xml:space="preserve">The commission or administrator may cancel </w:t>
      </w:r>
      <w:r>
        <w:rPr>
          <w:u w:val="single"/>
        </w:rPr>
        <w:t xml:space="preserve">or suspend</w:t>
      </w:r>
      <w:r>
        <w:t xml:space="preserve"> </w:t>
      </w:r>
      <w:r>
        <w:t xml:space="preserve">a license if it finds the licensee has not paid a fee levied under this section </w:t>
      </w:r>
      <w:r>
        <w:rPr>
          <w:u w:val="single"/>
        </w:rPr>
        <w:t xml:space="preserve">within 180 days after the date the fee was levied</w:t>
      </w:r>
      <w:r>
        <w:t xml:space="preserve">.  A licensee who sells an alcoholic beverage without first having paid a fee levied under this section commits a misdemeanor punishable by a fine of not less than $10 nor more than $200.</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city, town, or county may enter into a contract with a private attorney or a public or private vendor for the collection of an unpaid license fee levied under this section that is more than 60 days past due. </w:t>
      </w:r>
      <w:r>
        <w:rPr>
          <w:u w:val="single"/>
        </w:rPr>
        <w:t xml:space="preserve"> </w:t>
      </w:r>
      <w:r>
        <w:rPr>
          <w:u w:val="single"/>
        </w:rPr>
        <w:t xml:space="preserve">A private attorney or a public or private vendor collecting a fee under this subsection may assess a collection charge to a license holder for late payment or nonpayment of a fee levied under this section.</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city, town, or county may enter into an interlocal agreement with another entity authorized to levy a fee under this section for the collection of a license fee that is more than 60 days past due on behalf of the other entity and shall remit the appropriate fees collected to the other entity.  The amount collected through an interlocal agreement under this subsection may not exceed the amount of the fee levied by the city, town, or county under this section and any collection charge assessed by a private attorney or a public or private vendor under Subsection (b-1).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to Sections 11.38(b) and 61.36(b), Alcoholic Beverage Code, apply only to fees originally levied on or after the effective date of this Act. </w:t>
      </w:r>
      <w:r>
        <w:t xml:space="preserve"> </w:t>
      </w:r>
      <w:r>
        <w:t xml:space="preserve">Fees originally levied before the effective date of this Act are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