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86R8675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local permit and license fees authorized under the Alcoholic Beverage Code;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11.38, Alcoholic Beverage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cancel </w:t>
      </w:r>
      <w:r>
        <w:rPr>
          <w:u w:val="single"/>
        </w:rPr>
        <w:t xml:space="preserve">or suspend</w:t>
      </w:r>
      <w:r>
        <w:t xml:space="preserve"> a permit if it finds that the permittee has not paid a fee levied under this section </w:t>
      </w:r>
      <w:r>
        <w:rPr>
          <w:u w:val="single"/>
        </w:rPr>
        <w:t xml:space="preserve">within 180 days after the date the fee was levied</w:t>
      </w:r>
      <w:r>
        <w:t xml:space="preserve">.  A permittee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city, town, or county may enter into a contract with the commission, a private attorney, or a public or private vendor for the collection of an unpaid permit fee levied under this section. A private attorney or a public or private vendor collecting a fee under this subsection may assess a collection charge to a permit holder for late payment or nonpayment of a fee levied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city, town, or county may enter into an interlocal agreement with another entity authorized to levy a fee under this section for the collection of a permit fee on behalf of the other entity and shall remit the appropriate fees collected to the other entity.  The amount of a fee collected through an interlocal agreement under this subsection may not exceed the amount of the fee levied by the city, town, or county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61.36, Alcoholic Beverage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cancel </w:t>
      </w:r>
      <w:r>
        <w:rPr>
          <w:u w:val="single"/>
        </w:rPr>
        <w:t xml:space="preserve">or suspend</w:t>
      </w:r>
      <w:r>
        <w:t xml:space="preserve"> </w:t>
      </w:r>
      <w:r>
        <w:t xml:space="preserve">a license if it finds the licensee has not paid a fee levied under this section </w:t>
      </w:r>
      <w:r>
        <w:rPr>
          <w:u w:val="single"/>
        </w:rPr>
        <w:t xml:space="preserve">within 180 days after the date the fee was levied</w:t>
      </w:r>
      <w:r>
        <w:t xml:space="preserve">.  A licensee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city, town, or county may enter into a contract with the commission, a private attorney, or a public or private vendor for the collection of an unpaid license fee levied under this section. A private attorney or a public or private vendor collecting a fee under this subsection may assess a collection charge to a license holder for late payment or nonpayment of a fee levied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city, town, or county may enter into an interlocal agreement with another entity authorized to levy a fee under this section for the collection of a license fee on behalf of the other entity and shall remit the appropriate fees collected to the other entity.  The amount of a fee collected through an interlocal agreement under this subsection may not exceed the amount of the fee levied by the city, town, or county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11.38(b) and 61.36(b), Alcoholic Beverage Code, apply only to fees originally levied on or after the effective date of this Act. </w:t>
      </w:r>
      <w:r>
        <w:t xml:space="preserve"> </w:t>
      </w:r>
      <w:r>
        <w:t xml:space="preserve">Fees originally levied before the effective date of this Act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