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Nevárez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3759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type of newspaper required for publication of notice.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2051.0441(b),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newspaper in which a notice is published under this section must: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devote not less than 20 percent of its total column lineage to general interest items;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be published at least once each week;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be entered as periodical postal matter in the county where published or have a mailed or delivered circulation </w:t>
      </w:r>
      <w:r>
        <w:rPr>
          <w:u w:val="single"/>
        </w:rPr>
        <w:t xml:space="preserve">to</w:t>
      </w:r>
      <w:r>
        <w:t xml:space="preserve"> [</w:t>
      </w:r>
      <w:r>
        <w:rPr>
          <w:strike/>
        </w:rPr>
        <w:t xml:space="preserve">of at least 51 percent of the</w:t>
      </w:r>
      <w:r>
        <w:t xml:space="preserve">] residences in the county where published;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have been published regularly and continuously for at least 12 months before the governmental entity or representative publishes notice.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3759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