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86R12570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Nevárez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type of newspaper required for publication of notice in small municipalities and rural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2051.044(c),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This section does not apply to the publication of a notice to which Section 2051.0441 </w:t>
      </w:r>
      <w:r>
        <w:rPr>
          <w:u w:val="single"/>
        </w:rPr>
        <w:t xml:space="preserve">or 2051.0442</w:t>
      </w:r>
      <w:r>
        <w:t xml:space="preserve"> applies.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2051.0441,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2051.0441.</w:t>
      </w:r>
      <w:r xml:space="preserve">
        <w:t> </w:t>
      </w:r>
      <w:r xml:space="preserve">
        <w:t> </w:t>
      </w:r>
      <w:r>
        <w:t xml:space="preserve">TYPE OF NEWSPAPER REQUIRED FOR PUBLICATION IN CERTAIN COUNTIES </w:t>
      </w:r>
      <w:r>
        <w:rPr>
          <w:u w:val="single"/>
        </w:rPr>
        <w:t xml:space="preserve">THAT DO NOT HAVE REQUIRED NEWSPAPER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2051.0441(a),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 a notice published by a governmental entity or representative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in a county[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with a population of at least 30,000 and not more than 39,000 that borders the Red River;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that does not have a newspaper described by Section 2051.044 published in the county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which Section 2051.0442 does not apply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2051, Government Code, is amended by adding Section 2051.0442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2051.0442.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NEWSPAPER PUBLICATION IN SMALL MUNICIPALITIES AND RURAL COUNTIES.  (a) </w:t>
      </w:r>
      <w:r>
        <w:rPr>
          <w:u w:val="single"/>
        </w:rPr>
        <w:t xml:space="preserve"> </w:t>
      </w:r>
      <w:r>
        <w:rPr>
          <w:u w:val="single"/>
        </w:rP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with a population of less than 50,000;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with a population of less than 200,000;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governmental entity other than a municipality located in a county described by Subdivision (2).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governmental entity or representative may satisfy a requirement of any other law to provide notice by publication in a newspaper by posting the notice in any newspaper that is circulated in the jurisdiction of the governmental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