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86R19396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3760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3760:</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3760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buyer's temporary tags for vehicles sold by governmental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503.063, Transportation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federal, state, or local governmental agency that is exempt under Section 503.024 from the requirement to obtain a dealer general distinguishing number may issue one temporary buyer's tag in accordance with this section for a vehicle sold or otherwise disposed of by the governmental agency under Chapter 2175, Government Code, or other law that authorizes the governmental agency to sell or otherwise dispose of the vehicle.  A governmental agency that issues a temporary buyer's tag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provisions of Sections 503.0631 and 503.067 applicable to a dealer;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charge the registration fee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