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3760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buyer's temporary tags for vehicles sold by governmental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503.063, Transportation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federal, state, or local governmental agency that is exempt under Section 503.024 from the requirement to obtain a dealer general distinguishing number may issue one temporary buyer's tag in accordance with this section for a vehicle sold or otherwise disposed of by the governmental agency under Chapter 2175, Government Code, or other law that authorizes the governmental agency to sell or otherwise dispose of the vehicle.  A governmental agency that issues a temporary buyer's tag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provisions of Sections 503.0631 and 503.067 applicable to a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charge the registration fee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