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86R10169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working parents for whom federal matching funds are available.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are the working parent of a dependent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apply for the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