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H.B.</w:t>
      </w:r>
      <w:r xml:space="preserve">
        <w:t> </w:t>
      </w:r>
      <w:r>
        <w:t xml:space="preserve">No.</w:t>
      </w:r>
      <w:r xml:space="preserve">
        <w:t> </w:t>
      </w:r>
      <w:r>
        <w:t xml:space="preserve">3771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approval of insurance companies to provide certain structured settlement annuity contracts.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142.009, Property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In approving an insurance company under Subsection (a)(3), the court may consider whether the company:</w:t>
      </w:r>
    </w:p>
    <w:p w:rsidR="003F3435" w:rsidRDefault="0032493E">
      <w:pPr>
        <w:spacing w:line="480" w:lineRule="auto"/>
        <w:ind w:firstLine="1440"/>
        <w:jc w:val="both"/>
      </w:pPr>
      <w:r>
        <w:t xml:space="preserve">(1)</w:t>
      </w:r>
      <w:r xml:space="preserve">
        <w:t> </w:t>
      </w:r>
      <w:r xml:space="preserve">
        <w:t> </w:t>
      </w:r>
      <w:r>
        <w:t xml:space="preserve">holds </w:t>
      </w:r>
      <w:r>
        <w:rPr>
          <w:u w:val="single"/>
        </w:rPr>
        <w:t xml:space="preserve">an issuer credit</w:t>
      </w:r>
      <w:r>
        <w:t xml:space="preserve"> [</w:t>
      </w:r>
      <w:r>
        <w:rPr>
          <w:strike/>
        </w:rPr>
        <w:t xml:space="preserve">an industry</w:t>
      </w:r>
      <w:r>
        <w:t xml:space="preserve">] rating equivalent to </w:t>
      </w:r>
      <w:r>
        <w:rPr>
          <w:u w:val="single"/>
        </w:rPr>
        <w:t xml:space="preserve">a NAIC 1 designation from a national or international</w:t>
      </w:r>
      <w:r>
        <w:t xml:space="preserve"> [</w:t>
      </w:r>
      <w:r>
        <w:rPr>
          <w:strike/>
        </w:rPr>
        <w:t xml:space="preserve">at least two of the following</w:t>
      </w:r>
      <w:r>
        <w:t xml:space="preserve">] rating </w:t>
      </w:r>
      <w:r>
        <w:rPr>
          <w:u w:val="single"/>
        </w:rPr>
        <w:t xml:space="preserve">agency that</w:t>
      </w:r>
      <w:r>
        <w:t xml:space="preserve"> [</w:t>
      </w:r>
      <w:r>
        <w:rPr>
          <w:strike/>
        </w:rPr>
        <w:t xml:space="preserve">organizations</w:t>
      </w:r>
      <w:r>
        <w:t xml:space="preserve">]:</w:t>
      </w:r>
    </w:p>
    <w:p w:rsidR="003F3435" w:rsidRDefault="0032493E">
      <w:pPr>
        <w:spacing w:line="480" w:lineRule="auto"/>
        <w:ind w:firstLine="2160"/>
        <w:jc w:val="both"/>
      </w:pPr>
      <w:r>
        <w:t xml:space="preserve">(A)</w:t>
      </w:r>
      <w:r xml:space="preserve">
        <w:t> </w:t>
      </w:r>
      <w:r xml:space="preserve">
        <w:t> </w:t>
      </w:r>
      <w:r>
        <w:rPr>
          <w:u w:val="single"/>
        </w:rPr>
        <w:t xml:space="preserve">has registered with the Securities and Exchange Commission</w:t>
      </w:r>
      <w:r>
        <w:t xml:space="preserve"> [</w:t>
      </w:r>
      <w:r>
        <w:rPr>
          <w:strike/>
        </w:rPr>
        <w:t xml:space="preserve">A.</w:t>
      </w:r>
      <w:r xml:space="preserve">
        <w:rPr>
          <w:strike/>
        </w:rPr>
        <w:t> </w:t>
      </w:r>
      <w:r>
        <w:rPr>
          <w:strike/>
        </w:rPr>
        <w:t xml:space="preserve">M. </w:t>
      </w:r>
      <w:r>
        <w:rPr>
          <w:strike/>
        </w:rPr>
        <w:t xml:space="preserve"> </w:t>
      </w:r>
      <w:r>
        <w:rPr>
          <w:strike/>
        </w:rPr>
        <w:t xml:space="preserve">Best Company: </w:t>
      </w:r>
      <w:r>
        <w:rPr>
          <w:strike/>
        </w:rPr>
        <w:t xml:space="preserve"> </w:t>
      </w:r>
      <w:r>
        <w:rPr>
          <w:strike/>
        </w:rPr>
        <w:t xml:space="preserve">A++ or A+</w:t>
      </w:r>
      <w:r>
        <w:t xml:space="preserve">];</w:t>
      </w:r>
    </w:p>
    <w:p w:rsidR="003F3435" w:rsidRDefault="0032493E">
      <w:pPr>
        <w:spacing w:line="480" w:lineRule="auto"/>
        <w:ind w:firstLine="2160"/>
        <w:jc w:val="both"/>
      </w:pPr>
      <w:r>
        <w:t xml:space="preserve">(B)</w:t>
      </w:r>
      <w:r xml:space="preserve">
        <w:t> </w:t>
      </w:r>
      <w:r xml:space="preserve">
        <w:t> </w:t>
      </w:r>
      <w:r>
        <w:rPr>
          <w:u w:val="single"/>
        </w:rPr>
        <w:t xml:space="preserve">is designated as a nationally recognized statistical rating organization</w:t>
      </w:r>
      <w:r>
        <w:t xml:space="preserve"> [</w:t>
      </w:r>
      <w:r>
        <w:rPr>
          <w:strike/>
        </w:rPr>
        <w:t xml:space="preserve">Duff &amp; Phelps Credit Rating Company Insurance Company Claims Paying Ability Rating: </w:t>
      </w:r>
      <w:r>
        <w:rPr>
          <w:strike/>
        </w:rPr>
        <w:t xml:space="preserve"> </w:t>
      </w:r>
      <w:r>
        <w:rPr>
          <w:strike/>
        </w:rPr>
        <w:t xml:space="preserve">AA-, AA, AA+, or AAA</w:t>
      </w:r>
      <w:r>
        <w:t xml:space="preserve">]; </w:t>
      </w:r>
      <w:r>
        <w:rPr>
          <w:u w:val="single"/>
        </w:rPr>
        <w:t xml:space="preserve">and</w:t>
      </w:r>
    </w:p>
    <w:p w:rsidR="003F3435" w:rsidRDefault="0032493E">
      <w:pPr>
        <w:spacing w:line="480" w:lineRule="auto"/>
        <w:ind w:firstLine="2160"/>
        <w:jc w:val="both"/>
      </w:pPr>
      <w:r>
        <w:t xml:space="preserve">(C)</w:t>
      </w:r>
      <w:r xml:space="preserve">
        <w:t> </w:t>
      </w:r>
      <w:r xml:space="preserve">
        <w:t> </w:t>
      </w:r>
      <w:r>
        <w:rPr>
          <w:u w:val="single"/>
        </w:rPr>
        <w:t xml:space="preserve">is on the list of Credit Rating Providers by the Securities Valuation Office of the National Association of Insurance Commissioners</w:t>
      </w:r>
      <w:r>
        <w:t xml:space="preserve"> [</w:t>
      </w:r>
      <w:r>
        <w:rPr>
          <w:strike/>
        </w:rPr>
        <w:t xml:space="preserve">Moody's Investors Service Claims Paying Ability Rating: </w:t>
      </w:r>
      <w:r>
        <w:rPr>
          <w:strike/>
        </w:rPr>
        <w:t xml:space="preserve"> </w:t>
      </w:r>
      <w:r>
        <w:rPr>
          <w:strike/>
        </w:rPr>
        <w:t xml:space="preserve">Aa3, Aa2, Aa1, or aaa; or</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Standard &amp; Poor's Corporation Insurer Claims-Paying Ability Rating: </w:t>
      </w:r>
      <w:r>
        <w:rPr>
          <w:strike/>
        </w:rPr>
        <w:t xml:space="preserve"> </w:t>
      </w:r>
      <w:r>
        <w:rPr>
          <w:strike/>
        </w:rPr>
        <w:t xml:space="preserve">AA-, AA, AA+, or AAA</w:t>
      </w:r>
      <w:r>
        <w:t xml:space="preserve">];</w:t>
      </w:r>
    </w:p>
    <w:p w:rsidR="003F3435" w:rsidRDefault="0032493E">
      <w:pPr>
        <w:spacing w:line="480" w:lineRule="auto"/>
        <w:ind w:firstLine="1440"/>
        <w:jc w:val="both"/>
      </w:pPr>
      <w:r>
        <w:t xml:space="preserve">(2)</w:t>
      </w:r>
      <w:r xml:space="preserve">
        <w:t> </w:t>
      </w:r>
      <w:r xml:space="preserve">
        <w:t> </w:t>
      </w:r>
      <w:r>
        <w:t xml:space="preserve">is an affiliate, as that term is described by Section 823.003, Insurance Code, of a liability insurance carrier involved in the suit for which the structured settlement is created; or</w:t>
      </w:r>
    </w:p>
    <w:p w:rsidR="003F3435" w:rsidRDefault="0032493E">
      <w:pPr>
        <w:spacing w:line="480" w:lineRule="auto"/>
        <w:ind w:firstLine="1440"/>
        <w:jc w:val="both"/>
      </w:pPr>
      <w:r>
        <w:t xml:space="preserve">(3)</w:t>
      </w:r>
      <w:r xml:space="preserve">
        <w:t> </w:t>
      </w:r>
      <w:r xml:space="preserve">
        <w:t> </w:t>
      </w:r>
      <w:r>
        <w:t xml:space="preserve">is connected in any way to a person obligated to fund the structured settlement.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presiding judge may resolve disputes regarding which company will provide the annuity contract for a structured settlement by making a determination that is in the best interests of the beneficiary of the structured settlement, taking into account factors customarily considered in making a determination under Section 141.004, Civil Practice and Remedies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