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86R14116 MAW-D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Davis of Dallas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3775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training requirements for a person appointed as a county jailer.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1701.310(a), Occupations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Except as provided by Subsection (e), a person may not be appointed as a county jailer [</w:t>
      </w:r>
      <w:r>
        <w:rPr>
          <w:strike/>
        </w:rPr>
        <w:t xml:space="preserve">, except on a temporary basis,</w:t>
      </w:r>
      <w:r>
        <w:t xml:space="preserve">] unless the person has satisfactorily completed a preparatory training program, as required by the commission, in the operation of a county jail at a school operated or licensed by the commission. </w:t>
      </w:r>
      <w:r>
        <w:t xml:space="preserve"> </w:t>
      </w:r>
      <w:r>
        <w:t xml:space="preserve">The training program must consist of at least eight hours of mental health training approved by the commission and the Commission on Jail Standards.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1701.310(b), Occupations Code, is repealed.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3775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