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designed to ensure health benefit plan coverage to certain children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PROGRAM TO ENSURE HEALTH BENEFIT PLAN COVERAGE FOR CERTAIN CHILDREN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health plan program" means the child health plan program established under Chapter 62,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means the medical assistance program established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PROGRAM FOR HEALTH BENEFIT PLAN COVERAGE FOR CHILDREN THROUGH PRIVATE MARKET SOLUTIONS.  Subject to the requirements of this chapter, the commission in consultation with the commissioner of insurance shall develop and implement a program that helps connect certain children in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ENROLLMENT ELIGIBILITY.  (a)  Subject to Subsection (b), a child is eligible to enroll in a program designed and established under this chapter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19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benefits under Medicaid or the child health plan program because of applicable income limits;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have a health benefit plan because the child's family does not have access to or cannot afford a plan through the private marketplace,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employer-sponsored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benefit plan for which an enrollee receives a premium subsidy under the Patient Protection and Affordable Care Act (Pub. L. No.</w:t>
      </w:r>
      <w:r>
        <w:rPr>
          <w:u w:val="single"/>
        </w:rPr>
        <w:t xml:space="preserve"> </w:t>
      </w:r>
      <w:r>
        <w:rPr>
          <w:u w:val="single"/>
        </w:rPr>
        <w:t xml:space="preserve">111-148) due to the amount of family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further define the eligibility requirements of this section, including defining income requirements necessary to enroll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premium assistance to purchase health benefit plan coverage for a child in the private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technology to maximize the efficiency with which the commission and any health benefit plan issuer manages enrollee participation.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w:t>
      </w:r>
      <w:r>
        <w:rPr>
          <w:u w:val="single"/>
        </w:rPr>
        <w:t xml:space="preserve">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develop and implement the program required by Chapter 540,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