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86R13707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3777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priority of payment for certain electrical service claims against the estates of certain decedents.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355.102(b), Estates Code, is amended to read as follows:</w:t>
      </w:r>
    </w:p>
    <w:p w:rsidR="003F3435" w:rsidRDefault="0032493E">
      <w:pPr>
        <w:spacing w:line="480" w:lineRule="auto"/>
        <w:ind w:firstLine="720"/>
        <w:jc w:val="both"/>
      </w:pPr>
      <w:r>
        <w:t xml:space="preserve">(b)</w:t>
      </w:r>
      <w:r xml:space="preserve">
        <w:t> </w:t>
      </w:r>
      <w:r xml:space="preserve">
        <w:t> </w:t>
      </w:r>
      <w:r>
        <w:t xml:space="preserve">Class 1 claims are composed of funeral expenses and expenses of the decedent's last illness</w:t>
      </w:r>
      <w:r>
        <w:rPr>
          <w:u w:val="single"/>
        </w:rPr>
        <w:t xml:space="preserve">, including claims for the cost of electrical service provided to the decedent if the decedent had been designated as a critical care residential customer,</w:t>
      </w:r>
      <w:r>
        <w:t xml:space="preserve"> for a reasonable amount approved by the court, not to exceed a total of $15,000. </w:t>
      </w:r>
      <w:r>
        <w:t xml:space="preserve"> </w:t>
      </w:r>
      <w:r>
        <w:t xml:space="preserve">Any excess shall be classified and paid as other unsecured claims.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355.103, Estates Code, is amended to read as follows:</w:t>
      </w:r>
    </w:p>
    <w:p w:rsidR="003F3435" w:rsidRDefault="0032493E">
      <w:pPr>
        <w:spacing w:line="480" w:lineRule="auto"/>
        <w:ind w:firstLine="720"/>
        <w:jc w:val="both"/>
      </w:pPr>
      <w:r>
        <w:t xml:space="preserve">Sec.</w:t>
      </w:r>
      <w:r xml:space="preserve">
        <w:t> </w:t>
      </w:r>
      <w:r>
        <w:t xml:space="preserve">355.103.</w:t>
      </w:r>
      <w:r xml:space="preserve">
        <w:t> </w:t>
      </w:r>
      <w:r xml:space="preserve">
        <w:t> </w:t>
      </w:r>
      <w:r>
        <w:t xml:space="preserve">PRIORITY OF CERTAIN PAYMENTS.  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and expenses of the decedent's last illness</w:t>
      </w:r>
      <w:r>
        <w:rPr>
          <w:u w:val="single"/>
        </w:rPr>
        <w:t xml:space="preserve">, including claims for the cost of electrical service provided to the decedent if the decedent had been designated as a critical care residential customer</w:t>
      </w:r>
      <w:r>
        <w:t xml:space="preserve">,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355.102(b) and 355.103,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