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86R11789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H.B.</w:t>
      </w:r>
      <w:r xml:space="preserve">
        <w:t> </w:t>
      </w:r>
      <w:r>
        <w:t xml:space="preserve">No.</w:t>
      </w:r>
      <w:r xml:space="preserve">
        <w:t> </w:t>
      </w:r>
      <w:r>
        <w:t xml:space="preserve">3782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 to remove property encroaching on areas owned or controlled by the Harris County Flood Control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360, Acts of the 45th Legislature, Regular Session, 1937,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w:t>
      </w:r>
      <w:r>
        <w:rPr>
          <w:u w:val="single"/>
        </w:rPr>
        <w:t xml:space="preserve"> </w:t>
      </w:r>
      <w:r>
        <w:rPr>
          <w:u w:val="single"/>
        </w:rPr>
        <w:t xml:space="preserve"> </w:t>
      </w:r>
      <w:r>
        <w:rPr>
          <w:u w:val="single"/>
        </w:rPr>
        <w:t xml:space="preserve">Right to Remove Property. </w:t>
      </w:r>
      <w:r>
        <w:rPr>
          <w:u w:val="single"/>
        </w:rPr>
        <w:t xml:space="preserve"> </w:t>
      </w:r>
      <w:r>
        <w:rPr>
          <w:u w:val="single"/>
        </w:rPr>
        <w:t xml:space="preserve">(a) </w:t>
      </w:r>
      <w:r>
        <w:rPr>
          <w:u w:val="single"/>
        </w:rPr>
        <w:t xml:space="preserve"> </w:t>
      </w:r>
      <w:r>
        <w:rPr>
          <w:u w:val="single"/>
        </w:rPr>
        <w:t xml:space="preserve">In this section, "district" means the Harris County Flood Control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to carry out district purposes, the district may remove real or personal property placed on land owned by the district or land subject to an easement held by the district, regardless of when the real or personal property was put in place and without the consent of the owner of the property.  The district may bring a cause of action against the owner of the property to recover the cost of removing the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suit brought by a property owner regarding the removal of property under this section, a court may deny a request for temporary injunctive relief against the district and may issue injunctive relief allowing the district to remove the property if the district shows a substantial likelihood of success on the merits.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