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86R12743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3783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transportation of municipal solid waste in certain enclosed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361.091(i),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stationary compactor that is at a specific location and that has an annual permit under this section issued by the commission, on certification to the commission by the generator that the contents of the compactor are free of putrescible, hazardous, or infectious waste;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enclosed vehicle that is a utility trailer, van, box van, or receiver box;</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enclosed vehicle of a municipality if the vehicle has a permit issued by the commission to transport brush or construction-demolition waste and rubbish on designated dates, on certification by the municipality to the commission that the contents of the vehicle are free of putrescible, hazardous, or infectious waste.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7.161(c), Water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stationary compactor that is at a specific location and that has an annual permit under Section 361.091, Health and Safety Code, issued by the commission, on certification to the commission by the generator that the contents of the compactor are free of putrescible, hazardous, or infectious waste;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enclosed vehicle that is a utility trailer, van, box van, or receiver box;</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enclosed vehicle of a municipality if the vehicle has a permit issued by the commission to transport brush or construction-demolition waste and rubbish on designated dates, on certification by the municipality to the commission that the contents of the vehicle are free of putrescible, hazardous, or infectious waste.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