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86R19415 GCB-F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Coleman, Wu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3786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3786: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Stickland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3786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conducted by counties on the effectiveness of establishing a family drug court; establishing a family drug court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122, Government Code, is amended by adding Sections 122.005 and 122.006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122.005.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FAMILY DRUG COURT STUDY.  (a)  Not later than September 1, 2020, the commissioners court of each county that has not established a family drug court program shall study the effect the creation of a family drug court would have in the county.  The sheriff and, as applicable, the county attorney, district attorney, or criminal district attorney shall assist in conducting the study.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commissioners court in a county conducting the study required by Subsection (a) shall request assistance from the following persons located in the county: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judges;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 protective services caseworkers and supervisors;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attorneys ad litem;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guardians ad litem;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drug treatment providers;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family and child therapists;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peer recovery coach providers;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domestic violence victim advocates;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housing partners;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drug coordinators;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drug court services managers;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drug court case managers.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study must analyze the effectiveness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creating a court that specializes in cases in which a parent or person standing in parental relation suffers from drug addiction;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case management used by a family drug court program, including the involvement of Department of Family and Protective Services caseworkers, court-appointed case managers, and court-appointed special advocates, to rehabilitate a parent or person standing in parental relation who has had a child removed from the parent's or person's care by the department or who is under investigation to determine if a child should be removed from the parent's or person's care by the department.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January 1, 2021.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122.006.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FUNDING FOR FAMILY DRUG COURTS.  (a)  The family drug court fund is a dedicated account in the general revenue fund in the state treasury.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family drug court fund consists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appropriations of money to the fund by the legislature;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gifts, grants, including grants from the federal government, and other donations received for the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Health and Human Services Commission shall administer the family drug court fund.  Money in the account may be used only to award grants to counties to establish and administer a family drug court.  To receive money from the family drug court fund a county must submit the study conducted under Section 122.005 on the effect of the creation of a family drug court in the county and a detailed proposal of the establishment of the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Health and Human Services Commission shall adopt rules establishing the criteria for awarding a grant to counties to establish a family drug court under Section 122.006, Government Code, as added by this Act, not later than January 1, 2020.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3786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