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establishing family drug courts 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122, Government Code, is amended by adding Section 122.005 and 122.0051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122.005.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FAMILY DRUG COURT STUDY.  (a) </w:t>
      </w:r>
      <w:r>
        <w:rPr>
          <w:u w:val="single"/>
        </w:rPr>
        <w:t xml:space="preserve"> </w:t>
      </w:r>
      <w:r>
        <w:rPr>
          <w:u w:val="single"/>
        </w:rPr>
        <w:t xml:space="preserve">Not later than September 1, 2018, the commissioners court of each county that has not established a family drug court program shall study the effect the creation of a family drug court would have in the county. </w:t>
      </w:r>
      <w:r>
        <w:rPr>
          <w:u w:val="single"/>
        </w:rPr>
        <w:t xml:space="preserve"> </w:t>
      </w:r>
      <w:r>
        <w:rPr>
          <w:u w:val="single"/>
        </w:rPr>
        <w:t xml:space="preserve">The sheriff and, as applicable, the county attorney, district  attorney, or criminal district attorney shall assist in conducting the study. </w:t>
      </w:r>
      <w:r>
        <w:rPr>
          <w:u w:val="single"/>
        </w:rPr>
        <w:t xml:space="preserve"> </w:t>
      </w:r>
      <w:r>
        <w:rPr>
          <w:u w:val="single"/>
        </w:rPr>
        <w:t xml:space="preserve">Input from the following persons located in the county as applicable shall be requested: judges, CPS caseworkers and supervisors, attorney ad litems, guardian ad litems, treatment providers, child/family therapists, treatment providers, peer recovery coach providers, domestic violence advocates, housing partners, drug court coordinators, drug court services managers, drug court case managers. </w:t>
      </w:r>
      <w:r>
        <w:rPr>
          <w:u w:val="single"/>
        </w:rPr>
        <w:t xml:space="preserve"> </w:t>
      </w:r>
      <w:r>
        <w:rPr>
          <w:u w:val="single"/>
        </w:rPr>
        <w:t xml:space="preserve">The study must analyze the effectiveness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creating a court that specializes in cases in which a parent or person standing in parental relation suffers from drug addiction;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case management used by a family drug court program, including the involvement of Department of Family and Protective Services caseworkers, court-appointed case managers, and court-appointed special advocates, to rehabilitate a parent or person standing in parental relation who has had a child removed from the parent's or person's care by the department, or under investigation to determine if a child should be removed from the parent's or person's care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January 1, 2021.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122.0051.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 FUNDING FOR FAMILY DRUG COURTS.  (a)  The county family drug court fund is a dedicated account in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family drug court fund consists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appropriations of money to the fund by the legislature;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gifts, grants, including grants from the federal </w:t>
      </w:r>
      <w:r>
        <w:rPr>
          <w:u w:val="single"/>
        </w:rPr>
        <w:t xml:space="preserve">government, and other donations received for the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and Human Service Commission may provide counties who submit their study conducted under subsection 122.005  for consideration with funds to set up and administer a family drug court in their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Health and Human Services Commission shall adopt rules regarding the criteria for awarding grants described under subsection 122.0051 by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