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withdrawal of participating entities with more than 1,000 employees from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WITHDRAWAL OF PARTICIPATING ENTITY WITH MORE THAN 1,000 EMPLOYEES.  (a)  A participating entity that has more than 1,000 employees may withdraw from the program, notwithstanding any previous election or requirement to participate, by notifying the trustee in writing that the entity is withdrawing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Withdrawal from the program under this section is effective on the earliest September 1 that occurs after the earliest March 1 after the date the entity provides the notice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entity that withdraws from the program under this section may not resume participation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