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86R12198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clerks of justice courts and deputy constables.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27.056(a),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justice of the peace may designate one or more persons to serve as clerk of the justice court. </w:t>
      </w:r>
      <w:r>
        <w:t xml:space="preserve"> </w:t>
      </w:r>
      <w:r>
        <w:rPr>
          <w:u w:val="single"/>
        </w:rPr>
        <w:t xml:space="preserve">A clerk of the justice court serves at the pleasure of the justice of the peace.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86.011, Local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elected constable may designate a person serving as a deputy constable as the chief deputy constable. </w:t>
      </w:r>
      <w:r>
        <w:rPr>
          <w:u w:val="single"/>
        </w:rPr>
        <w:t xml:space="preserve"> </w:t>
      </w:r>
      <w:r>
        <w:rPr>
          <w:u w:val="single"/>
        </w:rPr>
        <w:t xml:space="preserve">The chief deputy constable serves at the pleasure of the elected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158.013(b),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subchapter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assistant district attorneys, investigators, or other employees of a district or criminal district attorney, except as provided by Section 158.007;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official shorthand reporter of a court;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elected or appointed officer under the constitution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chief deputy constable appointed under Section 86.011;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clerk of a justice of the peace appointed under Section 27.056,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