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H.B.</w:t>
      </w:r>
      <w:r xml:space="preserve">
        <w:t> </w:t>
      </w:r>
      <w:r>
        <w:t xml:space="preserve">No.</w:t>
      </w:r>
      <w:r xml:space="preserve">
        <w:t> </w:t>
      </w:r>
      <w:r>
        <w:t xml:space="preserve">3795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organized retail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conducts, promotes, or facilitates an activity in which the person [</w:t>
      </w:r>
      <w:r>
        <w:rPr>
          <w:strike/>
        </w:rPr>
        <w:t xml:space="preserve">receives, possesses, conceals,</w:t>
      </w:r>
      <w:r>
        <w:t xml:space="preserve">] stores, barters, </w:t>
      </w:r>
      <w:r>
        <w:rPr>
          <w:u w:val="single"/>
        </w:rPr>
        <w:t xml:space="preserve">or</w:t>
      </w:r>
      <w:r>
        <w:t xml:space="preserve"> sells[</w:t>
      </w:r>
      <w:r>
        <w:rPr>
          <w:strike/>
        </w:rPr>
        <w:t xml:space="preserve">, or disposes of</w:t>
      </w:r>
      <w:r>
        <w:t xml:space="preserve">]:</w:t>
      </w:r>
    </w:p>
    <w:p w:rsidR="003F3435" w:rsidRDefault="0032493E">
      <w:pPr>
        <w:spacing w:line="480" w:lineRule="auto"/>
        <w:ind w:firstLine="1440"/>
        <w:jc w:val="both"/>
      </w:pPr>
      <w:r>
        <w:t xml:space="preserve">(1)</w:t>
      </w:r>
      <w:r xml:space="preserve">
        <w:t> </w:t>
      </w:r>
      <w:r xml:space="preserve">
        <w:t> </w:t>
      </w:r>
      <w:r>
        <w:t xml:space="preserve">stolen retail merchandise; or</w:t>
      </w:r>
    </w:p>
    <w:p w:rsidR="003F3435" w:rsidRDefault="0032493E">
      <w:pPr>
        <w:spacing w:line="480" w:lineRule="auto"/>
        <w:ind w:firstLine="1440"/>
        <w:jc w:val="both"/>
      </w:pPr>
      <w:r>
        <w:t xml:space="preserve">(2)</w:t>
      </w:r>
      <w:r xml:space="preserve">
        <w:t> </w:t>
      </w:r>
      <w:r xml:space="preserve">
        <w:t> </w:t>
      </w:r>
      <w:r>
        <w:t xml:space="preserve">merchandise explicitly represented to the person as being stolen retail merchandise.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