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86R14124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3804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annual cost-of-living adjustment for school district employees and an annual adjustment to the basic allotment under the public school finance system to reflect inflation.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22, Education Code, is amended by adding Section 22.012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22.012.</w:t>
      </w:r>
      <w:r>
        <w:rPr>
          <w:u w:val="single"/>
        </w:rPr>
        <w:t xml:space="preserve"> </w:t>
      </w:r>
      <w:r>
        <w:rPr>
          <w:u w:val="single"/>
        </w:rPr>
        <w:t xml:space="preserve"> </w:t>
      </w:r>
      <w:r>
        <w:rPr>
          <w:u w:val="single"/>
        </w:rPr>
        <w:t xml:space="preserve">COST-OF-LIVING ADJUSTMENT. </w:t>
      </w:r>
      <w:r>
        <w:rPr>
          <w:u w:val="single"/>
        </w:rPr>
        <w:t xml:space="preserve"> </w:t>
      </w:r>
      <w:r>
        <w:rPr>
          <w:u w:val="single"/>
        </w:rPr>
        <w:t xml:space="preserve">(a) </w:t>
      </w:r>
      <w:r>
        <w:rPr>
          <w:u w:val="single"/>
        </w:rPr>
        <w:t xml:space="preserve"> </w:t>
      </w:r>
      <w:r>
        <w:rPr>
          <w:u w:val="single"/>
        </w:rPr>
        <w:t xml:space="preserve">Each school year, the commissioner shall determine a cost-of-living adjustment based on the Consumer Price Index for All Urban Consumers published by the Bureau of Labor Statistics of the United States Department of Labor for the salary or wages paid to a school district employee based on any change in the average cost of living since the preceding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funds available to the state as a result of attendance credits purchased under Subchapter D, Chapter 41, the commissioner shall provide funding to each school district to provide the cost-of-living adjustment determined under Subsection (a) to each district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cost-of-living adjustment provided under Subsection (b) is in addition to the salary or wages that the district would otherwise pay the employee during the school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41, Education Code, is amended by adding Section 41.0012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41.0012.</w:t>
      </w:r>
      <w:r>
        <w:rPr>
          <w:u w:val="single"/>
        </w:rPr>
        <w:t xml:space="preserve"> </w:t>
      </w:r>
      <w:r>
        <w:rPr>
          <w:u w:val="single"/>
        </w:rPr>
        <w:t xml:space="preserve"> </w:t>
      </w:r>
      <w:r>
        <w:rPr>
          <w:u w:val="single"/>
        </w:rPr>
        <w:t xml:space="preserve">EXCLUSION OF CERTAIN REVENUE.  Notwithstanding Section 41.001(3), in making any determination necessary for purposes of this chapter, the commissioner shall exclude the portion of the basic allotment under Section 42.101 that is funded using revenue available to the state as a result of attendance credits purchased under Subchapter 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41.094(b), Education Code, is amended to read as follows:</w:t>
      </w:r>
    </w:p>
    <w:p w:rsidR="003F3435" w:rsidRDefault="0032493E">
      <w:pPr>
        <w:spacing w:line="480" w:lineRule="auto"/>
        <w:ind w:firstLine="720"/>
        <w:jc w:val="both"/>
      </w:pPr>
      <w:r>
        <w:t xml:space="preserve">(b)</w:t>
      </w:r>
      <w:r xml:space="preserve">
        <w:t> </w:t>
      </w:r>
      <w:r xml:space="preserve">
        <w:t> </w:t>
      </w:r>
      <w:r>
        <w:t xml:space="preserve">Receipts shall be deposited in the state treasury and may be used only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increase the basic allotment as provided by Section 42.101(a-3);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provide a cost-of-living adjustment under Section 22.012</w:t>
      </w:r>
      <w:r>
        <w:t xml:space="preserve"> [</w:t>
      </w:r>
      <w:r>
        <w:rPr>
          <w:strike/>
        </w:rPr>
        <w:t xml:space="preserve">for foundation school program purposes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42.101, Education Code, is amended by amending Subsection (a) and adding Subsections (a-3) and (a-4)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adjustment under Subsection (a-3), for</w:t>
      </w:r>
      <w:r>
        <w:t xml:space="preserve"> [</w:t>
      </w:r>
      <w:r>
        <w:rPr>
          <w:strike/>
        </w:rPr>
        <w:t xml:space="preserve">For</w:t>
      </w:r>
      <w:r>
        <w:t xml:space="preserve">]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the lesser of $4,765 or the amount that results from the following formula:</w:t>
      </w:r>
    </w:p>
    <w:p w:rsidR="003F3435" w:rsidRDefault="0032493E">
      <w:pPr>
        <w:spacing w:line="480" w:lineRule="auto"/>
        <w:jc w:val="center"/>
      </w:pPr>
      <w:r>
        <w:t xml:space="preserve">A = $4,765 X (DCR/MCR)</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t xml:space="preserve">"DCR" is the district's compressed tax rate, which is the product of the state compression percentage, as determined under Section 42.2516, multiplied by the maintenance and operations tax rate adopted by the district for the 2005 tax year; and</w:t>
      </w:r>
    </w:p>
    <w:p w:rsidR="003F3435" w:rsidRDefault="0032493E">
      <w:pPr>
        <w:spacing w:line="480" w:lineRule="auto"/>
        <w:ind w:firstLine="720"/>
        <w:jc w:val="both"/>
      </w:pPr>
      <w:r>
        <w:t xml:space="preserve">"MCR" is the state maximum compressed tax rate, which is the product of the state compression percentage, as determined under Section 42.2516, multiplied by $1.50.</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Beginning with the 2019-2020 school year, the basic allotment provided to a district under Subsection (a) or (b) is adjusted annually to increase the allotment by the amount that results from applying the inflation rate, as determined by the comptroller on the basis of changes in the Consumer Price Index for All Urban Consumers published by the Bureau of Labor Statistics of the United States Department of Labor, to the allotment for the preceding school year.</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The commissioner shall provide the adjustment to the basic allotment under Subsection (a-3) using funds available to the state as a result of attendance credits purchased under Subchapter D, Chapter 41, and, if necessary, funds deposited to the foundation school fund under Sections 201.404 and 202.353, Tax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