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Meyer, et al.</w:t>
      </w:r>
      <w:r xml:space="preserve">
        <w:tab wTab="150" tlc="none" cTlc="0"/>
      </w:r>
      <w:r>
        <w:t xml:space="preserve">H.B.</w:t>
      </w:r>
      <w:r xml:space="preserve">
        <w:t> </w:t>
      </w:r>
      <w:r>
        <w:t xml:space="preserve">No.</w:t>
      </w:r>
      <w:r xml:space="preserve">
        <w:t> </w:t>
      </w:r>
      <w:r>
        <w:t xml:space="preserve">3809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accrual of and limitations periods for personal injury claims that arise from certain offenses involving child sexual abuse.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16.0045,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personal injury not later than 15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bring suit for personal injury not later than 30 years after the day the cause of action accrues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arises as a result of conduct that violates a section of the Penal Code listed in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brings the suit solely against an individual or individuals </w:t>
      </w:r>
      <w:r>
        <w:rPr>
          <w:u w:val="single"/>
        </w:rPr>
        <w:t xml:space="preserve">who committed the conduct.</w:t>
      </w:r>
    </w:p>
    <w:p w:rsidR="003F3435" w:rsidRDefault="0032493E">
      <w:pPr>
        <w:spacing w:line="480" w:lineRule="auto"/>
        <w:ind w:firstLine="720"/>
        <w:jc w:val="both"/>
      </w:pPr>
      <w:r>
        <w:t xml:space="preserve">(c)</w:t>
      </w:r>
      <w:r xml:space="preserve">
        <w:t> </w:t>
      </w:r>
      <w:r xml:space="preserve">
        <w:t> </w:t>
      </w:r>
      <w:r>
        <w:t xml:space="preserve">In an action </w:t>
      </w:r>
      <w:r>
        <w:rPr>
          <w:u w:val="single"/>
        </w:rPr>
        <w:t xml:space="preserve">described by this section</w:t>
      </w:r>
      <w:r>
        <w:t xml:space="preserve"> for injury resulting in death [</w:t>
      </w:r>
      <w:r>
        <w:rPr>
          <w:strike/>
        </w:rPr>
        <w:t xml:space="preserve">arising as a result of conduct described by Subsection (a) or (b)</w:t>
      </w:r>
      <w:r>
        <w:t xml:space="preserve">], the cause of action accrues on the death of the injured person. </w:t>
      </w:r>
      <w:r>
        <w:rPr>
          <w:u w:val="single"/>
        </w:rPr>
        <w:t xml:space="preserve">In an action described by this section for injury not resulting in death, the cause of action accrues on the last day that the conduct that violates a section of the Penal Code listed in Subsection (a) or (b)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16.0045(a-1), Civil Practice and Remedies Code, as added by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3F3435" w:rsidRDefault="0032493E">
      <w:pPr>
        <w:spacing w:line="480" w:lineRule="auto"/>
        <w:ind w:firstLine="720"/>
        <w:jc w:val="both"/>
      </w:pPr>
      <w:r>
        <w:t xml:space="preserve">(b)</w:t>
      </w:r>
      <w:r xml:space="preserve">
        <w:t> </w:t>
      </w:r>
      <w:r xml:space="preserve">
        <w:t> </w:t>
      </w:r>
      <w:r>
        <w:t xml:space="preserve">Section 16.0045(c), Civil Practice and Remedies Code, as amended by this Act, applies only to a cause of action that accrues on or after the effective date of this Act. </w:t>
      </w:r>
      <w:r>
        <w:t xml:space="preserve"> </w:t>
      </w:r>
      <w:r>
        <w:t xml:space="preserve">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