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 Fischer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enforcement by certain local governmental entities and campus police departments of state and federal laws governing immigration.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752.053(a),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local entity or campus police department may not: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adopt </w:t>
      </w:r>
      <w:r>
        <w:rPr>
          <w:u w:val="single"/>
        </w:rPr>
        <w:t xml:space="preserve">or</w:t>
      </w:r>
      <w:r>
        <w:t xml:space="preserve">[</w:t>
      </w:r>
      <w:r>
        <w:rPr>
          <w:strike/>
        </w:rPr>
        <w:t xml:space="preserve">,</w:t>
      </w:r>
      <w:r>
        <w:t xml:space="preserve">] enforce[</w:t>
      </w:r>
      <w:r>
        <w:rPr>
          <w:strike/>
        </w:rPr>
        <w:t xml:space="preserve">, or endorse</w:t>
      </w:r>
      <w:r>
        <w:t xml:space="preserve">] a policy under which the entity or department prohibits or materially limits the enforcement of immigration laws;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as demonstrated by pattern or practice, prohibit or materially limit the enforcement of immigration laws;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for an entity that is a law enforcement agency or for a department, as demonstrated by pattern or practice, intentionally violate Article 2.251, Code of Criminal Procedure.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