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86R25676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3821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3821: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Craddick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3821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annexation by certain municipalities of a special district under a strategic partnership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43.0751(s),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Notwithstanding any other law </w:t>
      </w:r>
      <w:r>
        <w:rPr>
          <w:u w:val="single"/>
        </w:rPr>
        <w:t xml:space="preserve">other than Section 43.083</w:t>
      </w:r>
      <w:r>
        <w:t xml:space="preserve">, the procedures prescribed by Subchapters C-3, C-4, and C-5 do not apply to the annexation of an area under this section. </w:t>
      </w:r>
      <w:r>
        <w:t xml:space="preserve"> </w:t>
      </w:r>
      <w:r>
        <w:t xml:space="preserve">Except as provided by Subsection (h), a municipality shall follow the procedures established under the strategic partnership agreement for full-purpose annexation of an area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43, Local Government Code, is amended by adding Section 43.083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43.083.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ANNEXATION BY CERTAIN MUNICIPALITIES THAT OPERATE MUNICIPALLY OWNED WATER UTILITY.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municipality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operates a municipally owned water utility;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party to a strategic partnership agreement: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municipal utility district;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which the municipality contemplates annexing 400 or more water or wastewater connections that are not located in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authorized or required to annex a district for full purposes under a strategic partnership agreement under Section 43.0751 must receive approval for the annexation as required by Subchapter C-3, C-4, or C-5, as applicable, before annexation.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3821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