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3823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paid family care leave incentive for certain employers.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PAID FAMILY CARE LEAVE INCENTIVE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performs services for an employer for compensation under an oral or written contract of  hire, whether express or implied.  The term does not include an independent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 means a business entity that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POLICY INCENTIVE.  An employer qualifies for an exemption from the franchise tax under Section 171.089, Tax Code, if the employer adopts a family care leave policy under which an employee is entitled to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weeks of paid leave following giving birth to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weeks of paid leave following the birth of the employee's child, if Subdivision (1) does not apply to the employee;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weeks of paid leave following the adoption of a child by the employee or placement of a foster child with the employee.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Subchapter B, Chapter 171, Tax Code, is amended by adding Section 171.089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171.089.</w:t>
      </w:r>
      <w:r>
        <w:rPr>
          <w:u w:val="single"/>
        </w:rPr>
        <w:t xml:space="preserve"> </w:t>
      </w:r>
      <w:r>
        <w:rPr>
          <w:u w:val="single"/>
        </w:rPr>
        <w:t xml:space="preserve"> </w:t>
      </w:r>
      <w:r>
        <w:rPr>
          <w:u w:val="single"/>
        </w:rPr>
        <w:t xml:space="preserve">EXEMPTION--CERTAIN EMPLOYERS WHO ADOPT FAMILY CARE LEAVE POLICIES.  A corporation is exempted from the franchise tax if the corporation adopts an employment leave policy described by Chapter 83, Labor Code.</w:t>
      </w:r>
    </w:p>
    <w:p w:rsidR="003F3435" w:rsidRDefault="0032493E">
      <w:pPr>
        <w:spacing w:line="480" w:lineRule="auto"/>
        <w:ind w:firstLine="720"/>
        <w:jc w:val="both"/>
      </w:pPr>
      <w:r>
        <w:t xml:space="preserve">(b)</w:t>
      </w:r>
      <w:r xml:space="preserve">
        <w:t> </w:t>
      </w:r>
      <w:r xml:space="preserve">
        <w:t> </w:t>
      </w:r>
      <w:r>
        <w:t xml:space="preserve">This section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