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86R14073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mental health training for public school educators.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38, Education Code, is amended by adding Section 38.041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38.041.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MENTAL HEALTH TRAINING.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 shall approve a course of instruction for educators that provides not less than four hours of mental health training.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educator to complete the course of instruction approved under Subsection (a) during the week before the first day of classes.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may provide the course of instruction required by this section using funds available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commissioner of education shall adopt rules required by Section 38.041, Education Code, as added by this Act, regarding educator mental health training.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