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health benefit plan network status of certain physicians and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843.348, Insurance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health maintenance organization considers proposed medical care or health care services elective and requires preauthorization as a condition of payment under the health benefit plan, the health maintenance organization shall, at the time the health maintenance organization issues a determination preauthorizing the services, provide to the enrollee a statement of the network status of any facility-based physician or health care provider that the health maintenance organization reasonably expects will provide and bill for any of the authorized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1301.135, Insurance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an insurer considers proposed medical care or health care services elective and requires preauthorization as a condition of payment under the policy, the insurer shall, at the time the insurer issues a determination preauthorizing the services, provide to the insured a statement of the network status of any facility-based physician or health care provider that the insurer reasonably expects will provide and bill for any of the authorized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159, Occupations Code, is amended by adding Section 159.012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159.012.</w:t>
      </w:r>
      <w:r>
        <w:rPr>
          <w:u w:val="single"/>
        </w:rPr>
        <w:t xml:space="preserve"> </w:t>
      </w:r>
      <w:r>
        <w:rPr>
          <w:u w:val="single"/>
        </w:rPr>
        <w:t xml:space="preserve"> </w:t>
      </w:r>
      <w:r>
        <w:rPr>
          <w:u w:val="single"/>
        </w:rPr>
        <w:t xml:space="preserve">DISCLOSURE OF OTHER PHYSICIAN OR HEALTH CARE PRACTITIONER. </w:t>
      </w:r>
      <w:r>
        <w:rPr>
          <w:u w:val="single"/>
        </w:rPr>
        <w:t xml:space="preserve"> </w:t>
      </w:r>
      <w:r>
        <w:rPr>
          <w:u w:val="single"/>
        </w:rPr>
        <w:t xml:space="preserve">If, for a nonemergency service, a physician schedules another physician or health care practitioner to otherwise treat the patient or prospective patient, the physician shall provide to the patient a written disclosure form prescribed by the board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is scheduling another physician or health care practitioner to provide services and that the other physician or practitioner may not be in the patient's provider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physician's or health care practitioner's name, medical or health care practice name, practice specialty, address, and telephone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Sections 843.348 and 1301.135, Insurance Code, as amended by this Act, apply only to a health benefit plan that is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159.012, Occupations Code, as added by this Act, applies only to a health care service scheduled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