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3836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selection of instructional materials by a school district or open-enrollment charter school.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31.101(b),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selecting instructional material each year, a school district or open-enrollment charter school </w:t>
      </w:r>
      <w:r>
        <w:rPr>
          <w:u w:val="single"/>
        </w:rPr>
        <w:t xml:space="preserve">shall</w:t>
      </w:r>
      <w:r>
        <w:t xml:space="preserve"> [</w:t>
      </w:r>
      <w:r>
        <w:rPr>
          <w:strike/>
        </w:rPr>
        <w:t xml:space="preserve">May</w:t>
      </w:r>
      <w:r>
        <w:t xml:space="preserve">] consider the use of open education resource instructional materials.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 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