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86R11963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Flynn, Tinderholt, Miller,</w:t>
      </w:r>
      <w:r xml:space="preserve">
        <w:tab wTab="150" tlc="none" cTlc="0"/>
      </w:r>
      <w:r>
        <w:t xml:space="preserve">H.B.</w:t>
      </w:r>
      <w:r xml:space="preserve">
        <w:t> </w:t>
      </w:r>
      <w:r>
        <w:t xml:space="preserve">No.</w:t>
      </w:r>
      <w:r xml:space="preserve">
        <w:t> </w:t>
      </w:r>
      <w:r>
        <w:t xml:space="preserve">3840</w:t>
      </w:r>
    </w:p>
    <w:p w:rsidR="003F3435" w:rsidRDefault="0032493E">
      <w:pPr>
        <w:jc w:val="both"/>
      </w:pPr>
      <w:r xml:space="preserve">
        <w:t> </w:t>
      </w:r>
      <w:r xml:space="preserve">
        <w:t> </w:t>
      </w:r>
      <w:r xml:space="preserve">
        <w:t> </w:t>
      </w:r>
      <w:r xml:space="preserve">
        <w:t> </w:t>
      </w:r>
      <w:r xml:space="preserve">
        <w:t> </w:t>
      </w:r>
      <w:r>
        <w:t xml:space="preserve">Cain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individuals or business entities that provide or train assistance animals for veterans;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114 to read as follows:</w:t>
      </w:r>
    </w:p>
    <w:p w:rsidR="003F3435" w:rsidRDefault="0032493E">
      <w:pPr>
        <w:spacing w:line="480" w:lineRule="auto"/>
        <w:jc w:val="center"/>
      </w:pPr>
      <w:r>
        <w:rPr>
          <w:u w:val="single"/>
        </w:rPr>
        <w:t xml:space="preserve">CHAPTER 114.  PROVIDERS AND TRAINERS OF ASSISTANCE ANIMALS FOR VETERANS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 "Assistance animal" means a canine that is specially trained or equipped to help a veteran diagnosed with post-traumatic stress disorder and that is used by a veteran with post-traumatic stress disorder.</w:t>
      </w:r>
    </w:p>
    <w:p w:rsidR="003F3435" w:rsidRDefault="0032493E">
      <w:pPr>
        <w:spacing w:line="480" w:lineRule="auto"/>
        <w:ind w:firstLine="1440"/>
        <w:jc w:val="both"/>
      </w:pPr>
      <w:r>
        <w:rPr>
          <w:u w:val="single"/>
        </w:rPr>
        <w:t xml:space="preserve">(2) "Veteran"</w:t>
      </w:r>
      <w:r>
        <w:rPr>
          <w:u w:val="single"/>
        </w:rPr>
        <w:t xml:space="preserve"> </w:t>
      </w:r>
      <w:r>
        <w:rPr>
          <w:u w:val="single"/>
        </w:rPr>
        <w:t xml:space="preserve">has the meaning assigned by Section 53.001,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114.002.</w:t>
      </w:r>
      <w:r>
        <w:rPr>
          <w:u w:val="single"/>
        </w:rPr>
        <w:t xml:space="preserve"> </w:t>
      </w:r>
      <w:r>
        <w:rPr>
          <w:u w:val="single"/>
        </w:rPr>
        <w:t xml:space="preserve"> </w:t>
      </w:r>
      <w:r>
        <w:rPr>
          <w:u w:val="single"/>
        </w:rPr>
        <w:t xml:space="preserve">REQUIREMENTS FOR PROVIDERS OR TRAINERS OF ASSISTANCE ANIMALS FOR VETERANS.  An individual or business entity that provides, by sale or donation, or trains assistance animals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an average of 30 or more hours of one-on-one training over a 90-day or longer period to each assistance animal provided or trained by the individual or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 wellness verification from a licensed veterinarian during the period described by Subdivision (1) for each assistance animal provided or trained by the individual or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work with each veteran using an assistance animal provided or trained by the individual or entity for 10 or more days and provide the veteran at least 30 hours of training with the assistance animal;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each assistance animal provided or trained by the individual or entity has passed: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American Kennel Club Canine Good Citizen test, or a test having standards substantially similar to the standards of the American Kennel Club Canine Good Citizen test in effect on September 1, 2019;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Assistance Dogs International Public Access Test, or a test having standards substantially similar to the standards of the Assistance Dogs International Public Access Test in effect on September 1, 2019;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make available follow-up services to each veteran using an assistance animal provided or trained by the individual or entity for the life of the assistance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114.003.</w:t>
      </w:r>
      <w:r>
        <w:rPr>
          <w:u w:val="single"/>
        </w:rPr>
        <w:t xml:space="preserve"> </w:t>
      </w:r>
      <w:r>
        <w:rPr>
          <w:u w:val="single"/>
        </w:rPr>
        <w:t xml:space="preserve"> </w:t>
      </w:r>
      <w:r>
        <w:rPr>
          <w:u w:val="single"/>
        </w:rPr>
        <w:t xml:space="preserve">CIVIL PENALTY; INJUNCTION.  (a)  An individual or business entity that violates a provision of this chapter is liable to the state for a civil penalty in an amount not to exceed $500 for each separate violation and, in the case of a continuing violation, an amount not to exceed $500 for each subsequent day on which the violation occurs.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an appropriate prosecuting attorney may sue to collect a civil penalty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in the name of the state to restrain or enjoin a violation or threatened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114.004.</w:t>
      </w:r>
      <w:r>
        <w:rPr>
          <w:u w:val="single"/>
        </w:rPr>
        <w:t xml:space="preserve"> </w:t>
      </w:r>
      <w:r>
        <w:rPr>
          <w:u w:val="single"/>
        </w:rPr>
        <w:t xml:space="preserve"> </w:t>
      </w:r>
      <w:r>
        <w:rPr>
          <w:u w:val="single"/>
        </w:rPr>
        <w:t xml:space="preserve">CIVIL LIABILITY.  (a)  A business entity that sells an assistance animal to a person in violation of this chapter is liable to the person for the amount the person paid for the assistance animal.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prevails in an action brought under this section is also entitled to recover court costs and reasonable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