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86R18722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Uvalde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3842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3842: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Uvalde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3842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requirement that a motor vehicle dealer obtain a general distinguishing number for a consignment location.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503.027(a),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If a dealer consigns for sale more than five vehicles in a calendar year from a location other than the location for which the dealer holds a general distinguishing number, the</w:t>
      </w:r>
      <w:r>
        <w:t xml:space="preserve">] dealer must [</w:t>
      </w:r>
      <w:r>
        <w:rPr>
          <w:strike/>
        </w:rPr>
        <w:t xml:space="preserve">also</w:t>
      </w:r>
      <w:r>
        <w:t xml:space="preserve">] hold a general distinguishing number for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consignment location unless the consignment location is a wholesale motor vehicle auction.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3842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