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priority groundwater management area study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35, Water Code, is amended by adding Section 35.0075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35.0075.</w:t>
      </w:r>
      <w:r>
        <w:rPr>
          <w:u w:val="single"/>
        </w:rPr>
        <w:t xml:space="preserve"> </w:t>
      </w:r>
      <w:r>
        <w:rPr>
          <w:u w:val="single"/>
        </w:rPr>
        <w:t xml:space="preserve"> </w:t>
      </w:r>
      <w:r>
        <w:rPr>
          <w:u w:val="single"/>
        </w:rPr>
        <w:t xml:space="preserve">PRIORITY GROUNDWATER MANAGEMENT AREA STUDY IN CERTAIN AREAS.  (a) </w:t>
      </w:r>
      <w:r>
        <w:rPr>
          <w:u w:val="single"/>
        </w:rPr>
        <w:t xml:space="preserve"> </w:t>
      </w:r>
      <w:r>
        <w:rPr>
          <w:u w:val="single"/>
        </w:rPr>
        <w:t xml:space="preserve">This section applies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bordering the Rio Grande;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overlying the Edwards-Trinity Aquifer;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a population greater than 40,000.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groundwater conservation district created in a county to which this section applies, the board shall use the priority groundwater management area study to set the modeled available groundwater and the district shall use the priority groundwater management area study to set the desired future condition according to the provisions of Chapter 36.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