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86R13641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 Howard, Goodwin, Clardy,</w:t>
      </w:r>
      <w:r xml:space="preserve">
        <w:tab wTab="150" tlc="none" cTlc="0"/>
      </w:r>
      <w:r>
        <w:t xml:space="preserve">H.B.</w:t>
      </w:r>
      <w:r xml:space="preserve">
        <w:t> </w:t>
      </w:r>
      <w:r>
        <w:t xml:space="preserve">No.</w:t>
      </w:r>
      <w:r xml:space="preserve">
        <w:t> </w:t>
      </w:r>
      <w:r>
        <w:t xml:space="preserve">3845</w:t>
      </w:r>
    </w:p>
    <w:p w:rsidR="003F3435" w:rsidRDefault="0032493E">
      <w:pPr>
        <w:jc w:val="both"/>
      </w:pPr>
      <w:r xml:space="preserve">
        <w:t> </w:t>
      </w:r>
      <w:r xml:space="preserve">
        <w:t> </w:t>
      </w:r>
      <w:r xml:space="preserve">
        <w:t> </w:t>
      </w:r>
      <w:r xml:space="preserve">
        <w:t> </w:t>
      </w:r>
      <w:r xml:space="preserve">
        <w:t> </w:t>
      </w:r>
      <w:r>
        <w:t xml:space="preserve">Tinderholt,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video teleconferencing for testimony of a forensic analyst in a criminal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38.076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38.076.</w:t>
      </w:r>
      <w:r>
        <w:rPr>
          <w:u w:val="single"/>
        </w:rPr>
        <w:t xml:space="preserve"> </w:t>
      </w:r>
      <w:r>
        <w:rPr>
          <w:u w:val="single"/>
        </w:rPr>
        <w:t xml:space="preserve"> </w:t>
      </w:r>
      <w:r>
        <w:rPr>
          <w:u w:val="single"/>
        </w:rPr>
        <w:t xml:space="preserve">TESTIMONY OF FORENSIC ANALYST BY VIDEO TELECONFERENCE.  (a) </w:t>
      </w:r>
      <w:r>
        <w:rPr>
          <w:u w:val="single"/>
        </w:rPr>
        <w:t xml:space="preserve"> </w:t>
      </w:r>
      <w:r>
        <w:rPr>
          <w:u w:val="single"/>
        </w:rPr>
        <w:t xml:space="preserve">In this article, "forensic analyst" has the meaning assigned by Section 4-a, Article 38.01.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proceeding in the prosecution of a criminal offense in which a forensic analyst is required to testify as a witness, any testimony of the witness may be conducted by video teleconferencing in the manner described by Subsection (c)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video teleconferencing is approved by the court after providing notice to all parties;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video teleconferencing is coordinated in advance to ensure proper scheduling and equipment compatibility and reliability;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of electronically transmitting documents related to the proceeding is available at both the location at which the witness is testifying and in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teleconferencing system used under this article must provide an encrypted, simultaneous, compressed full motion video and interactive communication of image and sound between the judge, the attorney representing the state, the attorney representing the defendant, and the witness.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