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86R14258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3846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additional instruction that may be used by a public school after administration of all state-required assessment instruments for the school year.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28.0162.</w:t>
      </w:r>
      <w:r>
        <w:rPr>
          <w:u w:val="single"/>
        </w:rPr>
        <w:t xml:space="preserve"> </w:t>
      </w:r>
      <w:r>
        <w:rPr>
          <w:u w:val="single"/>
        </w:rPr>
        <w:t xml:space="preserve"> </w:t>
      </w:r>
      <w:r>
        <w:rPr>
          <w:u w:val="single"/>
        </w:rPr>
        <w:t xml:space="preserve">ADDITIONAL INSTRUCTION OFFERED AFTER ADMINISTRATION OF ASSESSMENT INSTRUMENTS.  (a)  For each topic described by Subsection (b), the State Board of Education shall develop and make available to each school district or open-enrollment charter school additional instruction intended for use during the period of a school year occurring after the completion of the administration of all assessment instruments required under Section 39.023 for that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topics for the additional instruction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 financial literacy;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computer coding;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cybersecurity.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may contract with a public or private entity to develop the additional instruction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elect to use all or any part of the additional instruction developed under this section during the period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State Board of Education shall develop and make available to each school district or open-enrollment charter school the additional instruction required under Section 28.0162,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