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funding of certain ship channel improvements; authorizing the Texas Transportation Commission to issue revenue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money shall be credited to the 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money the commission receives as a gift, grant, or donation for a purpose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appropriated to the commission for the purposes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money received by the commission for the repayment of a loan made by the program established under Section 56.003;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proceeds of bonds issued under Section 56.004;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interest earned on deposits and investments of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</w:t>
      </w:r>
      <w:r>
        <w:rPr>
          <w:u w:val="single"/>
        </w:rPr>
        <w:t xml:space="preserve">enhance the financing capabilities of entities responsible for the local share of qualified project costs by providing revenue or security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low-interest loans;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longer repayment terms for loans;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flexible loan repayment terms,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loan structures similar to a line of credit;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prepayment of loans in advance of the loan's stated maturity date</w:t>
      </w:r>
      <w:r>
        <w:t xml:space="preserve"> [</w:t>
      </w:r>
      <w:r>
        <w:rPr>
          <w:strike/>
        </w:rPr>
        <w:t xml:space="preserve">finance qualified projects for navigation districts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56, Transportation Code, is amended by adding Section 56.004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BONDS.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issue revenue bonds for the purpose of providing money for the fund. Bond proceeds shall be deposited in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3850 was passed by the House on May 9, 2019, by the following vote:</w:t>
      </w:r>
      <w:r xml:space="preserve">
        <w:t> </w:t>
      </w:r>
      <w:r xml:space="preserve">
        <w:t> </w:t>
      </w:r>
      <w:r>
        <w:t xml:space="preserve">Yeas 129, Nays 14, 3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3850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