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86R23351 AJZ-D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Deshotel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3850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3850: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Martinez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3850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funding of certain ship channel improvements; authorizing the Texas Transportation Commission to issue revenue bonds.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56.002(b),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following money shall be credited to the fund: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money the commission receives as a gift, grant, or donation for a purpose of this chapter;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money appropriated to the commission for the purposes of this chapter;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money received by the commission for the repayment of a loan made by the program established under Section 56.003;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rPr>
          <w:u w:val="single"/>
        </w:rPr>
        <w:t xml:space="preserve">proceeds of bonds issued under Section 56.004;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 xml:space="preserve">
        <w:t> </w:t>
      </w:r>
      <w:r xml:space="preserve">
        <w:t> </w:t>
      </w:r>
      <w:r>
        <w:t xml:space="preserve">interest earned on deposits and investments of the fund.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56.003(a),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commission by rule shall establish a revolving loan program to use money from the fund to </w:t>
      </w:r>
      <w:r>
        <w:rPr>
          <w:u w:val="single"/>
        </w:rPr>
        <w:t xml:space="preserve">enhance the financing capabilities of entities responsible for the local share of qualified project costs by providing revenue or security for: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low-interest loans;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longer repayment terms for loans;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flexible loan repayment terms, including: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loan structures similar to a line of credit;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authorized prepayment of loans in advance of the loan's stated maturity date</w:t>
      </w:r>
      <w:r>
        <w:t xml:space="preserve"> [</w:t>
      </w:r>
      <w:r>
        <w:rPr>
          <w:strike/>
        </w:rPr>
        <w:t xml:space="preserve">finance qualified projects for navigation districts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Chapter 56, Transportation Code, is amended by adding Section 56.004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56.004.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REVENUE BONDS. </w:t>
      </w:r>
      <w:r>
        <w:rPr>
          <w:u w:val="single"/>
        </w:rPr>
        <w:t xml:space="preserve"> </w:t>
      </w:r>
      <w:r>
        <w:rPr>
          <w:u w:val="single"/>
        </w:rPr>
        <w:t xml:space="preserve">The commission may issue revenue bonds for the purpose of providing money for the fund. Bond proceeds shall be deposited in the fund.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3850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