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costs of conducting a traffic study on the effects of a development project proposed to be located in the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240, Local Government Code, is amended by adding Section 240.910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240.910.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TRAFFIC STUDY REQUIREMENT FOR DEVELOPMENT PROJECTS.  A commissioners court by order may require the developer of a development project proposed to be located in the county to pay the county for the cost of conducting a traffic study on the effects the proposed development will have on roads in the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