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Public Utility Commission of Texas to retain assistance for regional proceedings affecting certain electric utilities and consumers.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39, Utilities Code, is amended by adding Section 39.004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39.004.</w:t>
      </w:r>
      <w:r>
        <w:rPr>
          <w:u w:val="single"/>
        </w:rPr>
        <w:t xml:space="preserve"> </w:t>
      </w:r>
      <w:r>
        <w:rPr>
          <w:u w:val="single"/>
        </w:rPr>
        <w:t xml:space="preserve"> </w:t>
      </w:r>
      <w:r>
        <w:rPr>
          <w:u w:val="single"/>
        </w:rPr>
        <w:t xml:space="preserve">HIRING ASSISTANCE FOR REGIONAL PROCEEDINGS.  (a)  The commission may retain any consultant, accountant, auditor, engineer, or attorney the commission considers necessary to represent the commission in a proceeding before a regional transmission organization, or before a court reviewing proceedings of a regional transmission organization,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relationship of an electric utility to a power region, regional transmission organization, or independent system operator;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approval of an agreement among an electric utility and the electric utility's affiliates concerning the coordination of the operations of the electric utility and the electric utility's affiliates;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matters related to an electric utility that may affect the ultimate rates paid by retail customers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39.402(a), 39.452(d), and 39.502(b), this section applies to an electric utility to which Subchapter I, J, or K applies.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Assistance for which a consultant, accountant, auditor, engineer, or attorney may be retained under Subsection (a)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conducting a study;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conducting an investigation;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presenting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advising the commission;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representing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electric utility that is the subject of the proceeding shall pay timely the reasonable costs of the services of a person retained under Subsection (a), as determined by the commission.  The total costs an electric utility is required to pay under this subsection may not exceed $1.5 million in a 12-month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allow an electric utility to recover both the total costs the electric utility paid under Subsection (d) and the carrying charges for those costs through a rider established annually to recover the costs paid and carrying charges incurred during the preceding calendar year.  The rider may not be implemented before the rider is reviewed and approved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consult the attorney general before the commission retains a consultant, accountant, auditor, or engineer under Subsection (a).  The retention of an attorney under Subsection (a) is subject to the approval of the attorney general under Section 402.0212,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be precluded from engaging any individual who is required to register under Section 305.003, Government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3867 was passed by the House on May 3, 2019, by the following vote:</w:t>
      </w:r>
      <w:r xml:space="preserve">
        <w:t> </w:t>
      </w:r>
      <w:r xml:space="preserve">
        <w:t> </w:t>
      </w:r>
      <w:r>
        <w:t xml:space="preserve">Yeas 140, Nays 0, 2 present, not voting; and that the House concurred in Senate amendments to H.B. No. 3867 on May 24, 2019, by the following vote:</w:t>
      </w:r>
      <w:r xml:space="preserve">
        <w:t> </w:t>
      </w:r>
      <w:r xml:space="preserve">
        <w:t> </w:t>
      </w:r>
      <w:r>
        <w:t xml:space="preserve">Yeas 138, Nays 0,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3867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